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F022A5">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 xml:space="preserve">ТКБ </w:t>
      </w:r>
      <w:proofErr w:type="spellStart"/>
      <w:r w:rsidR="00F26550">
        <w:rPr>
          <w:rFonts w:ascii="Times New Roman" w:hAnsi="Times New Roman" w:cs="Times New Roman"/>
          <w:b/>
          <w:bCs/>
        </w:rPr>
        <w:t>Инвестмент</w:t>
      </w:r>
      <w:proofErr w:type="spellEnd"/>
      <w:r w:rsidR="00F26550">
        <w:rPr>
          <w:rFonts w:ascii="Times New Roman" w:hAnsi="Times New Roman" w:cs="Times New Roman"/>
          <w:b/>
          <w:bCs/>
        </w:rPr>
        <w:t xml:space="preserve"> </w:t>
      </w:r>
      <w:proofErr w:type="spellStart"/>
      <w:r w:rsidR="00F26550">
        <w:rPr>
          <w:rFonts w:ascii="Times New Roman" w:hAnsi="Times New Roman" w:cs="Times New Roman"/>
          <w:b/>
          <w:bCs/>
        </w:rPr>
        <w:t>Партнерс</w:t>
      </w:r>
      <w:proofErr w:type="spellEnd"/>
      <w:r w:rsidR="00F26550">
        <w:rPr>
          <w:rFonts w:ascii="Times New Roman" w:hAnsi="Times New Roman" w:cs="Times New Roman"/>
          <w:b/>
          <w:bCs/>
        </w:rPr>
        <w:t xml:space="preserve"> (АО)</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F022A5">
        <w:rPr>
          <w:rFonts w:ascii="Times New Roman" w:hAnsi="Times New Roman" w:cs="Times New Roman"/>
          <w:b/>
          <w:bCs/>
        </w:rPr>
        <w:t>Кириллова В</w:t>
      </w:r>
      <w:r w:rsidR="00F26550">
        <w:rPr>
          <w:rFonts w:ascii="Times New Roman" w:hAnsi="Times New Roman" w:cs="Times New Roman"/>
          <w:b/>
          <w:bCs/>
        </w:rPr>
        <w:t>.</w:t>
      </w:r>
      <w:r w:rsidR="00F022A5">
        <w:rPr>
          <w:rFonts w:ascii="Times New Roman" w:hAnsi="Times New Roman" w:cs="Times New Roman"/>
          <w:b/>
          <w:bCs/>
        </w:rPr>
        <w:t>Е</w:t>
      </w:r>
      <w:r w:rsidR="00F26550">
        <w:rPr>
          <w:rFonts w:ascii="Times New Roman" w:hAnsi="Times New Roman" w:cs="Times New Roman"/>
          <w:b/>
          <w:bCs/>
        </w:rPr>
        <w:t>.</w:t>
      </w:r>
    </w:p>
    <w:p w:rsidR="00496F37" w:rsidRPr="00A8522E"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7F7B50">
        <w:rPr>
          <w:rFonts w:ascii="Times New Roman" w:hAnsi="Times New Roman" w:cs="Times New Roman"/>
          <w:b/>
          <w:bCs/>
        </w:rPr>
        <w:t xml:space="preserve"> </w:t>
      </w:r>
      <w:r w:rsidR="008903A3" w:rsidRPr="00A8522E">
        <w:rPr>
          <w:rFonts w:ascii="Times New Roman" w:hAnsi="Times New Roman" w:cs="Times New Roman"/>
          <w:b/>
          <w:bCs/>
        </w:rPr>
        <w:t xml:space="preserve">   </w:t>
      </w:r>
      <w:r>
        <w:rPr>
          <w:rFonts w:ascii="Times New Roman" w:hAnsi="Times New Roman" w:cs="Times New Roman"/>
          <w:b/>
          <w:bCs/>
        </w:rPr>
        <w:t xml:space="preserve">от </w:t>
      </w:r>
      <w:r w:rsidR="008903A3">
        <w:rPr>
          <w:rFonts w:ascii="Times New Roman" w:hAnsi="Times New Roman" w:cs="Times New Roman"/>
          <w:b/>
          <w:bCs/>
        </w:rPr>
        <w:t>«</w:t>
      </w:r>
      <w:r w:rsidR="008903A3" w:rsidRPr="00A8522E">
        <w:rPr>
          <w:rFonts w:ascii="Times New Roman" w:hAnsi="Times New Roman" w:cs="Times New Roman"/>
          <w:b/>
          <w:bCs/>
        </w:rPr>
        <w:t>06</w:t>
      </w:r>
      <w:r>
        <w:rPr>
          <w:rFonts w:ascii="Times New Roman" w:hAnsi="Times New Roman" w:cs="Times New Roman"/>
          <w:b/>
          <w:bCs/>
        </w:rPr>
        <w:t xml:space="preserve">» </w:t>
      </w:r>
      <w:r w:rsidR="00F022A5">
        <w:rPr>
          <w:rFonts w:ascii="Times New Roman" w:hAnsi="Times New Roman" w:cs="Times New Roman"/>
          <w:b/>
          <w:bCs/>
        </w:rPr>
        <w:t xml:space="preserve">ноября </w:t>
      </w:r>
      <w:r>
        <w:rPr>
          <w:rFonts w:ascii="Times New Roman" w:hAnsi="Times New Roman" w:cs="Times New Roman"/>
          <w:b/>
          <w:bCs/>
        </w:rPr>
        <w:t>201</w:t>
      </w:r>
      <w:r w:rsidR="003E0527">
        <w:rPr>
          <w:rFonts w:ascii="Times New Roman" w:hAnsi="Times New Roman" w:cs="Times New Roman"/>
          <w:b/>
          <w:bCs/>
        </w:rPr>
        <w:t>9</w:t>
      </w:r>
      <w:r>
        <w:rPr>
          <w:rFonts w:ascii="Times New Roman" w:hAnsi="Times New Roman" w:cs="Times New Roman"/>
          <w:b/>
          <w:bCs/>
        </w:rPr>
        <w:t xml:space="preserve"> г.</w:t>
      </w:r>
      <w:r w:rsidR="007F7B50" w:rsidRPr="007F7B50">
        <w:rPr>
          <w:rFonts w:ascii="Times New Roman" w:hAnsi="Times New Roman" w:cs="Times New Roman"/>
          <w:b/>
          <w:bCs/>
        </w:rPr>
        <w:t xml:space="preserve"> </w:t>
      </w:r>
      <w:r w:rsidR="00330C9F">
        <w:rPr>
          <w:rFonts w:ascii="Times New Roman" w:hAnsi="Times New Roman" w:cs="Times New Roman"/>
          <w:b/>
          <w:bCs/>
        </w:rPr>
        <w:t xml:space="preserve">№ </w:t>
      </w:r>
      <w:r w:rsidR="008903A3" w:rsidRPr="00A8522E">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30</w:t>
      </w:r>
    </w:p>
    <w:p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proofErr w:type="spellStart"/>
      <w:r w:rsidR="00F26550">
        <w:rPr>
          <w:rFonts w:ascii="Times New Roman" w:hAnsi="Times New Roman" w:cs="Times New Roman"/>
          <w:spacing w:val="-1"/>
          <w:sz w:val="24"/>
          <w:szCs w:val="24"/>
        </w:rPr>
        <w:t>Инвестмент</w:t>
      </w:r>
      <w:proofErr w:type="spellEnd"/>
      <w:r w:rsidR="00F26550">
        <w:rPr>
          <w:rFonts w:ascii="Times New Roman" w:hAnsi="Times New Roman" w:cs="Times New Roman"/>
          <w:spacing w:val="-1"/>
          <w:sz w:val="24"/>
          <w:szCs w:val="24"/>
        </w:rPr>
        <w:t xml:space="preserve"> </w:t>
      </w:r>
      <w:proofErr w:type="spellStart"/>
      <w:r w:rsidR="00F26550">
        <w:rPr>
          <w:rFonts w:ascii="Times New Roman" w:hAnsi="Times New Roman" w:cs="Times New Roman"/>
          <w:spacing w:val="-1"/>
          <w:sz w:val="24"/>
          <w:szCs w:val="24"/>
        </w:rPr>
        <w:t>Партнерс</w:t>
      </w:r>
      <w:proofErr w:type="spellEnd"/>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rsidR="005974E1" w:rsidRPr="00F26550" w:rsidRDefault="005974E1" w:rsidP="00F26550">
      <w:pPr>
        <w:pStyle w:val="a5"/>
        <w:spacing w:after="60"/>
        <w:ind w:firstLine="284"/>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F26550">
        <w:rPr>
          <w:rFonts w:ascii="Times New Roman" w:hAnsi="Times New Roman" w:cs="Times New Roman"/>
          <w:b w:val="0"/>
          <w:sz w:val="20"/>
          <w:szCs w:val="20"/>
        </w:rPr>
        <w:t>Инвестмент</w:t>
      </w:r>
      <w:proofErr w:type="spellEnd"/>
      <w:r w:rsidR="00F26550">
        <w:rPr>
          <w:rFonts w:ascii="Times New Roman" w:hAnsi="Times New Roman" w:cs="Times New Roman"/>
          <w:b w:val="0"/>
          <w:sz w:val="20"/>
          <w:szCs w:val="20"/>
        </w:rPr>
        <w:t xml:space="preserve"> </w:t>
      </w:r>
      <w:proofErr w:type="spellStart"/>
      <w:r w:rsidR="00F26550">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rsidTr="00FD509D">
        <w:trPr>
          <w:trHeight w:val="537"/>
        </w:trPr>
        <w:tc>
          <w:tcPr>
            <w:tcW w:w="568" w:type="dxa"/>
            <w:shd w:val="clear" w:color="auto" w:fill="F3F3F3"/>
          </w:tcPr>
          <w:p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rsidR="00E44D5F" w:rsidRPr="009716ED" w:rsidRDefault="00E44D5F" w:rsidP="00576992">
            <w:pPr>
              <w:autoSpaceDE/>
              <w:autoSpaceDN/>
              <w:jc w:val="center"/>
            </w:pPr>
            <w:r w:rsidRPr="009716ED">
              <w:t>пункта</w:t>
            </w:r>
          </w:p>
        </w:tc>
        <w:tc>
          <w:tcPr>
            <w:tcW w:w="4168" w:type="dxa"/>
            <w:shd w:val="clear" w:color="auto" w:fill="F3F3F3"/>
            <w:vAlign w:val="center"/>
          </w:tcPr>
          <w:p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5974E1" w:rsidRPr="009716ED" w:rsidTr="00FD509D">
        <w:trPr>
          <w:trHeight w:val="652"/>
        </w:trPr>
        <w:tc>
          <w:tcPr>
            <w:tcW w:w="568" w:type="dxa"/>
          </w:tcPr>
          <w:p w:rsidR="005974E1" w:rsidRPr="009716ED"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9716ED">
              <w:rPr>
                <w:rFonts w:ascii="Times New Roman" w:hAnsi="Times New Roman" w:cs="Times New Roman"/>
                <w:kern w:val="0"/>
                <w:lang w:val="en-US"/>
              </w:rPr>
              <w:t>1</w:t>
            </w:r>
          </w:p>
        </w:tc>
        <w:tc>
          <w:tcPr>
            <w:tcW w:w="1076" w:type="dxa"/>
          </w:tcPr>
          <w:p w:rsidR="005974E1" w:rsidRPr="009716ED" w:rsidRDefault="00330C9F"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13.</w:t>
            </w:r>
          </w:p>
        </w:tc>
        <w:tc>
          <w:tcPr>
            <w:tcW w:w="4168" w:type="dxa"/>
          </w:tcPr>
          <w:p w:rsidR="005407B2" w:rsidRDefault="00330C9F" w:rsidP="00A8522E">
            <w:pPr>
              <w:autoSpaceDE/>
              <w:autoSpaceDN/>
              <w:spacing w:before="60" w:after="60"/>
              <w:jc w:val="both"/>
              <w:rPr>
                <w:lang w:eastAsia="en-US"/>
              </w:rPr>
            </w:pPr>
            <w:r w:rsidRPr="009716ED">
              <w:rPr>
                <w:lang w:eastAsia="en-US"/>
              </w:rPr>
              <w:t>Полное фирменное наименование аудиторской организации фонда (далее – аудиторская организация):</w:t>
            </w:r>
            <w:r w:rsidRPr="009716ED">
              <w:rPr>
                <w:spacing w:val="-1"/>
                <w:lang w:eastAsia="en-US"/>
              </w:rPr>
              <w:t xml:space="preserve"> </w:t>
            </w:r>
            <w:r w:rsidRPr="009716ED">
              <w:rPr>
                <w:lang w:eastAsia="en-US"/>
              </w:rPr>
              <w:t>Общество с ограниченной ответственностью «Аудиторско-Консультационная Группа ИНАУДИТ».</w:t>
            </w:r>
          </w:p>
        </w:tc>
        <w:tc>
          <w:tcPr>
            <w:tcW w:w="4253" w:type="dxa"/>
          </w:tcPr>
          <w:p w:rsidR="005974E1" w:rsidRPr="009716ED" w:rsidRDefault="00330C9F" w:rsidP="00A64D1E">
            <w:pPr>
              <w:adjustRightInd w:val="0"/>
              <w:jc w:val="both"/>
              <w:rPr>
                <w:b/>
                <w:lang w:eastAsia="en-US"/>
              </w:rPr>
            </w:pPr>
            <w:r w:rsidRPr="009716ED">
              <w:rPr>
                <w:b/>
                <w:lang w:eastAsia="en-US"/>
              </w:rPr>
              <w:t>Исключен.</w:t>
            </w:r>
          </w:p>
        </w:tc>
      </w:tr>
      <w:tr w:rsidR="000C47DB" w:rsidRPr="009716ED" w:rsidTr="00FD509D">
        <w:trPr>
          <w:trHeight w:val="652"/>
        </w:trPr>
        <w:tc>
          <w:tcPr>
            <w:tcW w:w="568" w:type="dxa"/>
          </w:tcPr>
          <w:p w:rsidR="000C47DB" w:rsidRPr="009716ED" w:rsidRDefault="00686038"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2</w:t>
            </w:r>
          </w:p>
        </w:tc>
        <w:tc>
          <w:tcPr>
            <w:tcW w:w="1076" w:type="dxa"/>
          </w:tcPr>
          <w:p w:rsidR="000C47DB" w:rsidRPr="009716ED" w:rsidRDefault="00330C9F"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14.</w:t>
            </w:r>
          </w:p>
        </w:tc>
        <w:tc>
          <w:tcPr>
            <w:tcW w:w="4168" w:type="dxa"/>
          </w:tcPr>
          <w:p w:rsidR="005407B2" w:rsidRDefault="00330C9F" w:rsidP="00A8522E">
            <w:pPr>
              <w:autoSpaceDE/>
              <w:autoSpaceDN/>
              <w:spacing w:before="60" w:after="60"/>
              <w:jc w:val="both"/>
              <w:rPr>
                <w:lang w:eastAsia="en-US"/>
              </w:rPr>
            </w:pPr>
            <w:r w:rsidRPr="009716ED">
              <w:rPr>
                <w:lang w:eastAsia="en-US"/>
              </w:rPr>
              <w:t>Место нахождения а</w:t>
            </w:r>
            <w:r w:rsidRPr="009716ED">
              <w:rPr>
                <w:spacing w:val="-1"/>
                <w:lang w:eastAsia="en-US"/>
              </w:rPr>
              <w:t xml:space="preserve">удиторской организации: </w:t>
            </w:r>
            <w:r w:rsidRPr="009716ED">
              <w:rPr>
                <w:lang w:eastAsia="en-US"/>
              </w:rPr>
              <w:t>Российская Федерация, 191025, Санкт-Петербург, Поварской пер., д. 5, оф. 2</w:t>
            </w:r>
            <w:r w:rsidRPr="009716ED">
              <w:rPr>
                <w:spacing w:val="-1"/>
                <w:lang w:eastAsia="en-US"/>
              </w:rPr>
              <w:t>.</w:t>
            </w:r>
          </w:p>
        </w:tc>
        <w:tc>
          <w:tcPr>
            <w:tcW w:w="4253" w:type="dxa"/>
          </w:tcPr>
          <w:p w:rsidR="00090D7E" w:rsidRPr="009716ED" w:rsidRDefault="00330C9F" w:rsidP="00201A92">
            <w:pPr>
              <w:autoSpaceDE/>
              <w:autoSpaceDN/>
              <w:jc w:val="both"/>
              <w:rPr>
                <w:b/>
                <w:lang w:eastAsia="en-US"/>
              </w:rPr>
            </w:pPr>
            <w:r w:rsidRPr="009716ED">
              <w:rPr>
                <w:b/>
                <w:lang w:eastAsia="en-US"/>
              </w:rPr>
              <w:t>Исключен.</w:t>
            </w:r>
          </w:p>
        </w:tc>
      </w:tr>
      <w:tr w:rsidR="009F3F69" w:rsidRPr="009716ED" w:rsidTr="00FD509D">
        <w:trPr>
          <w:trHeight w:val="652"/>
        </w:trPr>
        <w:tc>
          <w:tcPr>
            <w:tcW w:w="568" w:type="dxa"/>
          </w:tcPr>
          <w:p w:rsidR="009F3F69" w:rsidRPr="009716ED" w:rsidRDefault="00686038"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3</w:t>
            </w:r>
          </w:p>
        </w:tc>
        <w:tc>
          <w:tcPr>
            <w:tcW w:w="1076" w:type="dxa"/>
          </w:tcPr>
          <w:p w:rsidR="009F3F69" w:rsidRPr="009716ED" w:rsidRDefault="00CF0525"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22.5.</w:t>
            </w:r>
          </w:p>
        </w:tc>
        <w:tc>
          <w:tcPr>
            <w:tcW w:w="4168" w:type="dxa"/>
          </w:tcPr>
          <w:p w:rsidR="00CF0525" w:rsidRPr="009716ED" w:rsidRDefault="00CF0525" w:rsidP="00CF0525">
            <w:pPr>
              <w:autoSpaceDE/>
              <w:autoSpaceDN/>
              <w:ind w:firstLine="567"/>
              <w:jc w:val="both"/>
            </w:pPr>
            <w:r w:rsidRPr="009716ED">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716ED">
              <w:rPr>
                <w:i/>
              </w:rPr>
              <w:t xml:space="preserve">(далее – ликвидный </w:t>
            </w:r>
            <w:r w:rsidR="001E279C" w:rsidRPr="009716ED">
              <w:rPr>
                <w:i/>
              </w:rPr>
              <w:t>инструмент)</w:t>
            </w:r>
            <w:r w:rsidR="001E279C" w:rsidRPr="009716ED">
              <w:t xml:space="preserve"> в</w:t>
            </w:r>
            <w:r w:rsidRPr="009716ED">
              <w:t xml:space="preserve"> </w:t>
            </w:r>
            <w:r w:rsidR="001E279C" w:rsidRPr="009716ED">
              <w:t>настоящих Правилах</w:t>
            </w:r>
            <w:r w:rsidRPr="009716ED">
              <w:t xml:space="preserve"> понимаются следующие инструменты:</w:t>
            </w:r>
          </w:p>
          <w:p w:rsidR="00CF0525" w:rsidRPr="009716ED" w:rsidRDefault="00CF0525" w:rsidP="00CF0525">
            <w:pPr>
              <w:autoSpaceDE/>
              <w:autoSpaceDN/>
              <w:ind w:firstLine="567"/>
              <w:jc w:val="both"/>
            </w:pPr>
            <w:r w:rsidRPr="009716ED">
              <w:t>а) инструменты денежного рынка со сроком до погашения (закрытия) менее 3 (Трех) месяцев;</w:t>
            </w:r>
          </w:p>
          <w:p w:rsidR="00CF0525" w:rsidRPr="009716ED" w:rsidRDefault="00CF0525" w:rsidP="00CF0525">
            <w:pPr>
              <w:autoSpaceDE/>
              <w:autoSpaceDN/>
              <w:ind w:firstLine="567"/>
              <w:jc w:val="both"/>
            </w:pPr>
            <w:r w:rsidRPr="009716ED">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CF0525" w:rsidRPr="009716ED" w:rsidRDefault="00CF0525" w:rsidP="00CF0525">
            <w:pPr>
              <w:autoSpaceDE/>
              <w:autoSpaceDN/>
              <w:ind w:firstLine="567"/>
              <w:jc w:val="both"/>
            </w:pPr>
            <w:r w:rsidRPr="009716ED">
              <w:t>в) ценные бумаги, входящие в расчет следующих фондовых индексов:</w:t>
            </w:r>
          </w:p>
          <w:p w:rsidR="00CF0525" w:rsidRPr="009716ED" w:rsidRDefault="00CF0525" w:rsidP="00CF0525">
            <w:pPr>
              <w:autoSpaceDE/>
              <w:autoSpaceDN/>
              <w:ind w:firstLine="567"/>
              <w:jc w:val="both"/>
            </w:pPr>
            <w:r w:rsidRPr="009716ED">
              <w:t>- S&amp;P/ASX-200 (Австралия),</w:t>
            </w:r>
          </w:p>
          <w:p w:rsidR="00CF0525" w:rsidRPr="009716ED" w:rsidRDefault="00CF0525" w:rsidP="00CF0525">
            <w:pPr>
              <w:autoSpaceDE/>
              <w:autoSpaceDN/>
              <w:ind w:firstLine="567"/>
              <w:jc w:val="both"/>
            </w:pPr>
            <w:r w:rsidRPr="009716ED">
              <w:t>- ATX (Австрия),</w:t>
            </w:r>
          </w:p>
          <w:p w:rsidR="00CF0525" w:rsidRPr="009716ED" w:rsidRDefault="00CF0525" w:rsidP="00CF0525">
            <w:pPr>
              <w:autoSpaceDE/>
              <w:autoSpaceDN/>
              <w:ind w:firstLine="567"/>
              <w:jc w:val="both"/>
            </w:pPr>
            <w:r w:rsidRPr="009716ED">
              <w:t>- BEL20 (Бельгия),</w:t>
            </w:r>
          </w:p>
          <w:p w:rsidR="00CF0525" w:rsidRPr="009716ED" w:rsidRDefault="00CF0525" w:rsidP="00CF0525">
            <w:pPr>
              <w:autoSpaceDE/>
              <w:autoSpaceDN/>
              <w:ind w:firstLine="567"/>
              <w:jc w:val="both"/>
            </w:pPr>
            <w:r w:rsidRPr="009716ED">
              <w:t xml:space="preserve">- </w:t>
            </w:r>
            <w:proofErr w:type="spellStart"/>
            <w:r w:rsidRPr="009716ED">
              <w:t>Ibovespa</w:t>
            </w:r>
            <w:proofErr w:type="spellEnd"/>
            <w:r w:rsidRPr="009716ED">
              <w:t xml:space="preserve"> (Бразилия),</w:t>
            </w:r>
          </w:p>
          <w:p w:rsidR="00CF0525" w:rsidRPr="009716ED" w:rsidRDefault="00CF0525" w:rsidP="00CF0525">
            <w:pPr>
              <w:autoSpaceDE/>
              <w:autoSpaceDN/>
              <w:ind w:firstLine="567"/>
              <w:jc w:val="both"/>
            </w:pPr>
            <w:r w:rsidRPr="009716ED">
              <w:t xml:space="preserve">- </w:t>
            </w:r>
            <w:proofErr w:type="spellStart"/>
            <w:r w:rsidRPr="009716ED">
              <w:t>Budapest</w:t>
            </w:r>
            <w:proofErr w:type="spellEnd"/>
            <w:r w:rsidRPr="009716ED">
              <w:t xml:space="preserve"> SE (Венгрия),</w:t>
            </w:r>
          </w:p>
          <w:p w:rsidR="00CF0525" w:rsidRPr="009716ED" w:rsidRDefault="00CF0525" w:rsidP="00CF0525">
            <w:pPr>
              <w:autoSpaceDE/>
              <w:autoSpaceDN/>
              <w:ind w:firstLine="567"/>
              <w:jc w:val="both"/>
            </w:pPr>
            <w:r w:rsidRPr="009716ED">
              <w:lastRenderedPageBreak/>
              <w:t>- FTSE 100 (Великобритания),</w:t>
            </w:r>
          </w:p>
          <w:p w:rsidR="00CF0525" w:rsidRPr="009716ED" w:rsidRDefault="00CF0525" w:rsidP="00CF0525">
            <w:pPr>
              <w:autoSpaceDE/>
              <w:autoSpaceDN/>
              <w:ind w:firstLine="567"/>
              <w:jc w:val="both"/>
            </w:pPr>
            <w:r w:rsidRPr="009716ED">
              <w:t xml:space="preserve">- </w:t>
            </w:r>
            <w:proofErr w:type="spellStart"/>
            <w:r w:rsidRPr="009716ED">
              <w:t>Hang</w:t>
            </w:r>
            <w:proofErr w:type="spellEnd"/>
            <w:r w:rsidRPr="009716ED">
              <w:t xml:space="preserve"> </w:t>
            </w:r>
            <w:proofErr w:type="spellStart"/>
            <w:r w:rsidRPr="009716ED">
              <w:t>Seng</w:t>
            </w:r>
            <w:proofErr w:type="spellEnd"/>
            <w:r w:rsidRPr="009716ED">
              <w:t xml:space="preserve"> (Гонконг),</w:t>
            </w:r>
          </w:p>
          <w:p w:rsidR="00CF0525" w:rsidRPr="009716ED" w:rsidRDefault="00CF0525" w:rsidP="00CF0525">
            <w:pPr>
              <w:autoSpaceDE/>
              <w:autoSpaceDN/>
              <w:ind w:firstLine="567"/>
              <w:jc w:val="both"/>
            </w:pPr>
            <w:r w:rsidRPr="009716ED">
              <w:t>- DAX (Германия),</w:t>
            </w:r>
          </w:p>
          <w:p w:rsidR="00CF0525" w:rsidRPr="009716ED" w:rsidRDefault="00CF0525" w:rsidP="00CF0525">
            <w:pPr>
              <w:autoSpaceDE/>
              <w:autoSpaceDN/>
              <w:ind w:firstLine="567"/>
              <w:jc w:val="both"/>
            </w:pPr>
            <w:r w:rsidRPr="009716ED">
              <w:t xml:space="preserve">- OMX </w:t>
            </w:r>
            <w:proofErr w:type="spellStart"/>
            <w:r w:rsidRPr="009716ED">
              <w:t>Copenhagen</w:t>
            </w:r>
            <w:proofErr w:type="spellEnd"/>
            <w:r w:rsidRPr="009716ED">
              <w:t xml:space="preserve"> 20 (Дания),</w:t>
            </w:r>
          </w:p>
          <w:p w:rsidR="00CF0525" w:rsidRPr="009716ED" w:rsidRDefault="00CF0525" w:rsidP="00CF0525">
            <w:pPr>
              <w:autoSpaceDE/>
              <w:autoSpaceDN/>
              <w:ind w:firstLine="567"/>
              <w:jc w:val="both"/>
              <w:rPr>
                <w:lang w:val="en-US"/>
              </w:rPr>
            </w:pPr>
            <w:r w:rsidRPr="009716ED">
              <w:rPr>
                <w:lang w:val="en-US"/>
              </w:rPr>
              <w:t>- TA 25 (</w:t>
            </w:r>
            <w:r w:rsidRPr="009716ED">
              <w:t>Израиль</w:t>
            </w:r>
            <w:r w:rsidRPr="009716ED">
              <w:rPr>
                <w:lang w:val="en-US"/>
              </w:rPr>
              <w:t>),</w:t>
            </w:r>
          </w:p>
          <w:p w:rsidR="00CF0525" w:rsidRPr="009716ED" w:rsidRDefault="00CF0525" w:rsidP="00CF0525">
            <w:pPr>
              <w:autoSpaceDE/>
              <w:autoSpaceDN/>
              <w:ind w:firstLine="567"/>
              <w:jc w:val="both"/>
              <w:rPr>
                <w:lang w:val="en-US"/>
              </w:rPr>
            </w:pPr>
            <w:r w:rsidRPr="009716ED">
              <w:rPr>
                <w:lang w:val="en-US"/>
              </w:rPr>
              <w:t>- BSE Sensex (</w:t>
            </w:r>
            <w:r w:rsidRPr="009716ED">
              <w:t>Индия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ISEQ 20 (</w:t>
            </w:r>
            <w:r w:rsidRPr="009716ED">
              <w:t>Ирландия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ICEX (</w:t>
            </w:r>
            <w:r w:rsidRPr="009716ED">
              <w:t>Исландия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IBEX 35 (</w:t>
            </w:r>
            <w:r w:rsidRPr="009716ED">
              <w:t>Испания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 MIB (</w:t>
            </w:r>
            <w:r w:rsidRPr="009716ED">
              <w:t>Италия</w:t>
            </w:r>
            <w:r w:rsidRPr="009716ED">
              <w:rPr>
                <w:lang w:val="en-US"/>
              </w:rPr>
              <w:t>),</w:t>
            </w:r>
          </w:p>
          <w:p w:rsidR="00CF0525" w:rsidRPr="009716ED" w:rsidRDefault="00CF0525" w:rsidP="00CF0525">
            <w:pPr>
              <w:autoSpaceDE/>
              <w:autoSpaceDN/>
              <w:ind w:firstLine="567"/>
              <w:jc w:val="both"/>
              <w:rPr>
                <w:lang w:val="en-US"/>
              </w:rPr>
            </w:pPr>
            <w:r w:rsidRPr="009716ED">
              <w:rPr>
                <w:lang w:val="en-US"/>
              </w:rPr>
              <w:t>- S&amp;P/TSX (</w:t>
            </w:r>
            <w:r w:rsidRPr="009716ED">
              <w:t>Канада</w:t>
            </w:r>
            <w:r w:rsidRPr="009716ED">
              <w:rPr>
                <w:lang w:val="en-US"/>
              </w:rPr>
              <w:t>),</w:t>
            </w:r>
          </w:p>
          <w:p w:rsidR="00CF0525" w:rsidRPr="009716ED" w:rsidRDefault="00CF0525" w:rsidP="00CF0525">
            <w:pPr>
              <w:autoSpaceDE/>
              <w:autoSpaceDN/>
              <w:ind w:firstLine="567"/>
              <w:jc w:val="both"/>
              <w:rPr>
                <w:lang w:val="en-US"/>
              </w:rPr>
            </w:pPr>
            <w:r w:rsidRPr="009716ED">
              <w:rPr>
                <w:lang w:val="en-US"/>
              </w:rPr>
              <w:t>- SSE Composite Index (</w:t>
            </w:r>
            <w:r w:rsidRPr="009716ED">
              <w:t>Китай</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proofErr w:type="spellStart"/>
            <w:r w:rsidRPr="009716ED">
              <w:rPr>
                <w:lang w:val="en-US"/>
              </w:rPr>
              <w:t>LuxX</w:t>
            </w:r>
            <w:proofErr w:type="spellEnd"/>
            <w:r w:rsidRPr="009716ED">
              <w:rPr>
                <w:lang w:val="en-US"/>
              </w:rPr>
              <w:t xml:space="preserve"> Index (</w:t>
            </w:r>
            <w:r w:rsidRPr="009716ED">
              <w:t>Люксембург</w:t>
            </w:r>
            <w:r w:rsidRPr="009716ED">
              <w:rPr>
                <w:lang w:val="en-US"/>
              </w:rPr>
              <w:t>),</w:t>
            </w:r>
          </w:p>
          <w:p w:rsidR="00CF0525" w:rsidRPr="009716ED" w:rsidRDefault="00CF0525" w:rsidP="00CF0525">
            <w:pPr>
              <w:autoSpaceDE/>
              <w:autoSpaceDN/>
              <w:ind w:firstLine="567"/>
              <w:jc w:val="both"/>
              <w:rPr>
                <w:lang w:val="en-US"/>
              </w:rPr>
            </w:pPr>
            <w:r w:rsidRPr="009716ED">
              <w:rPr>
                <w:lang w:val="en-US"/>
              </w:rPr>
              <w:t>- IPC (</w:t>
            </w:r>
            <w:r w:rsidRPr="009716ED">
              <w:t>Мексика</w:t>
            </w:r>
            <w:r w:rsidRPr="009716ED">
              <w:rPr>
                <w:lang w:val="en-US"/>
              </w:rPr>
              <w:t>),</w:t>
            </w:r>
          </w:p>
          <w:p w:rsidR="00CF0525" w:rsidRPr="009716ED" w:rsidRDefault="00CF0525" w:rsidP="00CF0525">
            <w:pPr>
              <w:autoSpaceDE/>
              <w:autoSpaceDN/>
              <w:ind w:firstLine="567"/>
              <w:jc w:val="both"/>
              <w:rPr>
                <w:lang w:val="en-US"/>
              </w:rPr>
            </w:pPr>
            <w:r w:rsidRPr="009716ED">
              <w:rPr>
                <w:lang w:val="en-US"/>
              </w:rPr>
              <w:t>- AEX Index (</w:t>
            </w:r>
            <w:r w:rsidRPr="009716ED">
              <w:t>Нидерланды</w:t>
            </w:r>
            <w:r w:rsidRPr="009716ED">
              <w:rPr>
                <w:lang w:val="en-US"/>
              </w:rPr>
              <w:t>),</w:t>
            </w:r>
          </w:p>
          <w:p w:rsidR="00CF0525" w:rsidRPr="009716ED" w:rsidRDefault="00CF0525" w:rsidP="00CF0525">
            <w:pPr>
              <w:autoSpaceDE/>
              <w:autoSpaceDN/>
              <w:ind w:firstLine="567"/>
              <w:jc w:val="both"/>
              <w:rPr>
                <w:lang w:val="en-US"/>
              </w:rPr>
            </w:pPr>
            <w:r w:rsidRPr="009716ED">
              <w:rPr>
                <w:lang w:val="en-US"/>
              </w:rPr>
              <w:t>- DJ New Zealand (</w:t>
            </w:r>
            <w:r w:rsidRPr="009716ED">
              <w:t>Новая</w:t>
            </w:r>
            <w:r w:rsidRPr="009716ED">
              <w:rPr>
                <w:lang w:val="en-US"/>
              </w:rPr>
              <w:t xml:space="preserve"> </w:t>
            </w:r>
            <w:r w:rsidRPr="009716ED">
              <w:t>Зеландия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OBX (</w:t>
            </w:r>
            <w:r w:rsidRPr="009716ED">
              <w:t>Норвегия</w:t>
            </w:r>
            <w:r w:rsidRPr="009716ED">
              <w:rPr>
                <w:lang w:val="en-US"/>
              </w:rPr>
              <w:t>),</w:t>
            </w:r>
          </w:p>
          <w:p w:rsidR="00CF0525" w:rsidRPr="009716ED" w:rsidRDefault="00CF0525" w:rsidP="00CF0525">
            <w:pPr>
              <w:autoSpaceDE/>
              <w:autoSpaceDN/>
              <w:ind w:firstLine="567"/>
              <w:jc w:val="both"/>
              <w:rPr>
                <w:lang w:val="en-US"/>
              </w:rPr>
            </w:pPr>
            <w:r w:rsidRPr="009716ED">
              <w:rPr>
                <w:lang w:val="en-US"/>
              </w:rPr>
              <w:t>- WIG (</w:t>
            </w:r>
            <w:r w:rsidRPr="009716ED">
              <w:t>Польша</w:t>
            </w:r>
            <w:r w:rsidRPr="009716ED">
              <w:rPr>
                <w:lang w:val="en-US"/>
              </w:rPr>
              <w:t>),</w:t>
            </w:r>
          </w:p>
          <w:p w:rsidR="00CF0525" w:rsidRPr="009716ED" w:rsidRDefault="00CF0525" w:rsidP="00CF0525">
            <w:pPr>
              <w:autoSpaceDE/>
              <w:autoSpaceDN/>
              <w:ind w:firstLine="567"/>
              <w:jc w:val="both"/>
              <w:rPr>
                <w:lang w:val="en-US"/>
              </w:rPr>
            </w:pPr>
            <w:r w:rsidRPr="009716ED">
              <w:rPr>
                <w:lang w:val="en-US"/>
              </w:rPr>
              <w:t>- PSI 20 (</w:t>
            </w:r>
            <w:r w:rsidRPr="009716ED">
              <w:t>Португалия</w:t>
            </w:r>
            <w:r w:rsidRPr="009716ED">
              <w:rPr>
                <w:lang w:val="en-US"/>
              </w:rPr>
              <w:t>),</w:t>
            </w:r>
          </w:p>
          <w:p w:rsidR="00CF0525" w:rsidRPr="009716ED" w:rsidRDefault="00CF0525" w:rsidP="00CF0525">
            <w:pPr>
              <w:autoSpaceDE/>
              <w:autoSpaceDN/>
              <w:ind w:firstLine="567"/>
              <w:jc w:val="both"/>
            </w:pPr>
            <w:r w:rsidRPr="009716ED">
              <w:t>- ММВБ (Россия),</w:t>
            </w:r>
          </w:p>
          <w:p w:rsidR="00CF0525" w:rsidRPr="009716ED" w:rsidRDefault="00CF0525" w:rsidP="00CF0525">
            <w:pPr>
              <w:autoSpaceDE/>
              <w:autoSpaceDN/>
              <w:ind w:firstLine="567"/>
              <w:jc w:val="both"/>
            </w:pPr>
            <w:r w:rsidRPr="009716ED">
              <w:t>- РТС (Россия),</w:t>
            </w:r>
          </w:p>
          <w:p w:rsidR="00CF0525" w:rsidRPr="009716ED" w:rsidRDefault="00CF0525" w:rsidP="00CF0525">
            <w:pPr>
              <w:autoSpaceDE/>
              <w:autoSpaceDN/>
              <w:ind w:firstLine="567"/>
              <w:jc w:val="both"/>
            </w:pPr>
            <w:r w:rsidRPr="009716ED">
              <w:t>- SAX (Словакия),</w:t>
            </w:r>
          </w:p>
          <w:p w:rsidR="00CF0525" w:rsidRPr="009716ED" w:rsidRDefault="00CF0525" w:rsidP="00CF0525">
            <w:pPr>
              <w:autoSpaceDE/>
              <w:autoSpaceDN/>
              <w:ind w:firstLine="567"/>
              <w:jc w:val="both"/>
              <w:rPr>
                <w:lang w:val="en-US"/>
              </w:rPr>
            </w:pPr>
            <w:r w:rsidRPr="009716ED">
              <w:rPr>
                <w:lang w:val="en-US"/>
              </w:rPr>
              <w:t>- Blue-Chip SBITOP (</w:t>
            </w:r>
            <w:r w:rsidRPr="009716ED">
              <w:t>Словения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Dow Jones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S&amp;P 500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BIST 100 (</w:t>
            </w:r>
            <w:r w:rsidRPr="009716ED">
              <w:t>Турция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OMX Helsinki 25 (</w:t>
            </w:r>
            <w:r w:rsidRPr="009716ED">
              <w:t>Финляндия</w:t>
            </w:r>
            <w:r w:rsidRPr="009716ED">
              <w:rPr>
                <w:lang w:val="en-US"/>
              </w:rPr>
              <w:t>),</w:t>
            </w:r>
          </w:p>
          <w:p w:rsidR="00CF0525" w:rsidRPr="009716ED" w:rsidRDefault="00CF0525" w:rsidP="00CF0525">
            <w:pPr>
              <w:autoSpaceDE/>
              <w:autoSpaceDN/>
              <w:ind w:firstLine="567"/>
              <w:jc w:val="both"/>
            </w:pPr>
            <w:r w:rsidRPr="009716ED">
              <w:t>- CAC 40 (Франция),</w:t>
            </w:r>
          </w:p>
          <w:p w:rsidR="00CF0525" w:rsidRPr="009716ED" w:rsidRDefault="00CF0525" w:rsidP="00CF0525">
            <w:pPr>
              <w:autoSpaceDE/>
              <w:autoSpaceDN/>
              <w:ind w:firstLine="567"/>
              <w:jc w:val="both"/>
            </w:pPr>
            <w:r w:rsidRPr="009716ED">
              <w:t xml:space="preserve">- PX </w:t>
            </w:r>
            <w:proofErr w:type="spellStart"/>
            <w:r w:rsidRPr="009716ED">
              <w:t>Index</w:t>
            </w:r>
            <w:proofErr w:type="spellEnd"/>
            <w:r w:rsidRPr="009716ED">
              <w:t xml:space="preserve"> (Чешская республика),</w:t>
            </w:r>
          </w:p>
          <w:p w:rsidR="00CF0525" w:rsidRPr="009716ED" w:rsidRDefault="00CF0525" w:rsidP="00CF0525">
            <w:pPr>
              <w:autoSpaceDE/>
              <w:autoSpaceDN/>
              <w:ind w:firstLine="567"/>
              <w:jc w:val="both"/>
            </w:pPr>
            <w:r w:rsidRPr="009716ED">
              <w:t>- IPSA (Чили),</w:t>
            </w:r>
          </w:p>
          <w:p w:rsidR="00CF0525" w:rsidRPr="009716ED" w:rsidRDefault="00CF0525" w:rsidP="00CF0525">
            <w:pPr>
              <w:autoSpaceDE/>
              <w:autoSpaceDN/>
              <w:ind w:firstLine="567"/>
              <w:jc w:val="both"/>
            </w:pPr>
            <w:r w:rsidRPr="009716ED">
              <w:t>- SMI (Швейцария),</w:t>
            </w:r>
          </w:p>
          <w:p w:rsidR="00CF0525" w:rsidRPr="009716ED" w:rsidRDefault="00CF0525" w:rsidP="00CF0525">
            <w:pPr>
              <w:autoSpaceDE/>
              <w:autoSpaceDN/>
              <w:ind w:firstLine="567"/>
              <w:jc w:val="both"/>
            </w:pPr>
            <w:r w:rsidRPr="009716ED">
              <w:t>- OMXS30 (Швеция),</w:t>
            </w:r>
          </w:p>
          <w:p w:rsidR="00CF0525" w:rsidRPr="009716ED" w:rsidRDefault="00CF0525" w:rsidP="00CF0525">
            <w:pPr>
              <w:autoSpaceDE/>
              <w:autoSpaceDN/>
              <w:ind w:firstLine="567"/>
              <w:jc w:val="both"/>
              <w:rPr>
                <w:lang w:val="en-US"/>
              </w:rPr>
            </w:pPr>
            <w:r w:rsidRPr="009716ED">
              <w:rPr>
                <w:lang w:val="en-US"/>
              </w:rPr>
              <w:t>- Tallinn SE General (</w:t>
            </w:r>
            <w:r w:rsidRPr="009716ED">
              <w:t>Эстония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FTSE/JSE Top40 (</w:t>
            </w:r>
            <w:r w:rsidRPr="009716ED">
              <w:t>ЮАР</w:t>
            </w:r>
            <w:r w:rsidRPr="009716ED">
              <w:rPr>
                <w:lang w:val="en-US"/>
              </w:rPr>
              <w:t>),</w:t>
            </w:r>
          </w:p>
          <w:p w:rsidR="00CF0525" w:rsidRPr="009716ED" w:rsidRDefault="00CF0525" w:rsidP="00CF0525">
            <w:pPr>
              <w:autoSpaceDE/>
              <w:autoSpaceDN/>
              <w:ind w:firstLine="567"/>
              <w:jc w:val="both"/>
              <w:rPr>
                <w:lang w:val="en-US"/>
              </w:rPr>
            </w:pPr>
            <w:r w:rsidRPr="009716ED">
              <w:rPr>
                <w:lang w:val="en-US"/>
              </w:rPr>
              <w:t>- KOSPI (</w:t>
            </w:r>
            <w:r w:rsidRPr="009716ED">
              <w:t>Южная</w:t>
            </w:r>
            <w:r w:rsidRPr="009716ED">
              <w:rPr>
                <w:lang w:val="en-US"/>
              </w:rPr>
              <w:t xml:space="preserve"> </w:t>
            </w:r>
            <w:r w:rsidRPr="009716ED">
              <w:t>Корея</w:t>
            </w:r>
            <w:r w:rsidRPr="009716ED">
              <w:rPr>
                <w:lang w:val="en-US"/>
              </w:rPr>
              <w:t>),</w:t>
            </w:r>
          </w:p>
          <w:p w:rsidR="00CF0525" w:rsidRPr="009716ED" w:rsidRDefault="00CF0525" w:rsidP="00CF0525">
            <w:pPr>
              <w:autoSpaceDE/>
              <w:autoSpaceDN/>
              <w:ind w:firstLine="567"/>
              <w:jc w:val="both"/>
              <w:rPr>
                <w:lang w:val="en-US"/>
              </w:rPr>
            </w:pPr>
            <w:r w:rsidRPr="009716ED">
              <w:rPr>
                <w:lang w:val="en-US"/>
              </w:rPr>
              <w:t>- Nikkei 225 (</w:t>
            </w:r>
            <w:r w:rsidRPr="009716ED">
              <w:t>Япония</w:t>
            </w:r>
            <w:r w:rsidRPr="009716ED">
              <w:rPr>
                <w:lang w:val="en-US"/>
              </w:rPr>
              <w:t>).</w:t>
            </w:r>
          </w:p>
          <w:p w:rsidR="00CF0525" w:rsidRPr="009716ED" w:rsidRDefault="00CF0525" w:rsidP="00CF0525">
            <w:pPr>
              <w:autoSpaceDE/>
              <w:autoSpaceDN/>
              <w:ind w:firstLine="567"/>
              <w:jc w:val="both"/>
            </w:pPr>
            <w:r w:rsidRPr="009716ED">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CF0525" w:rsidRPr="009716ED" w:rsidRDefault="00CF0525" w:rsidP="00CF0525">
            <w:pPr>
              <w:autoSpaceDE/>
              <w:autoSpaceDN/>
              <w:ind w:firstLine="567"/>
              <w:jc w:val="both"/>
            </w:pPr>
            <w:r w:rsidRPr="009716ED">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9F3F69" w:rsidRPr="009716ED" w:rsidRDefault="009F3F69" w:rsidP="0084598B">
            <w:pPr>
              <w:autoSpaceDE/>
              <w:autoSpaceDN/>
              <w:spacing w:before="60" w:after="60"/>
              <w:jc w:val="both"/>
              <w:rPr>
                <w:lang w:eastAsia="en-US"/>
              </w:rPr>
            </w:pPr>
          </w:p>
        </w:tc>
        <w:tc>
          <w:tcPr>
            <w:tcW w:w="4253" w:type="dxa"/>
          </w:tcPr>
          <w:p w:rsidR="00CF0525" w:rsidRPr="009716ED" w:rsidRDefault="00CF0525" w:rsidP="00CF0525">
            <w:pPr>
              <w:autoSpaceDE/>
              <w:autoSpaceDN/>
              <w:ind w:firstLine="567"/>
              <w:jc w:val="both"/>
            </w:pPr>
            <w:r w:rsidRPr="009716ED">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716ED">
              <w:rPr>
                <w:i/>
              </w:rPr>
              <w:t xml:space="preserve">(далее – ликвидный </w:t>
            </w:r>
            <w:r w:rsidR="001E279C" w:rsidRPr="009716ED">
              <w:rPr>
                <w:i/>
              </w:rPr>
              <w:t>инструмент)</w:t>
            </w:r>
            <w:r w:rsidR="001E279C" w:rsidRPr="009716ED">
              <w:t xml:space="preserve"> в</w:t>
            </w:r>
            <w:r w:rsidRPr="009716ED">
              <w:t xml:space="preserve"> </w:t>
            </w:r>
            <w:r w:rsidR="001E279C" w:rsidRPr="009716ED">
              <w:t>настоящих Правилах</w:t>
            </w:r>
            <w:r w:rsidRPr="009716ED">
              <w:t xml:space="preserve"> понимаются следующие инструменты:</w:t>
            </w:r>
          </w:p>
          <w:p w:rsidR="00CF0525" w:rsidRPr="009716ED" w:rsidRDefault="00CF0525" w:rsidP="00CF0525">
            <w:pPr>
              <w:autoSpaceDE/>
              <w:autoSpaceDN/>
              <w:ind w:firstLine="567"/>
              <w:jc w:val="both"/>
            </w:pPr>
            <w:r w:rsidRPr="009716ED">
              <w:t>а) инструменты денежного рынка со сроком до погашения (закрытия) менее 3 (Трех) месяцев;</w:t>
            </w:r>
          </w:p>
          <w:p w:rsidR="00CF0525" w:rsidRPr="009716ED" w:rsidRDefault="00CF0525" w:rsidP="00CF0525">
            <w:pPr>
              <w:autoSpaceDE/>
              <w:autoSpaceDN/>
              <w:ind w:firstLine="567"/>
              <w:jc w:val="both"/>
            </w:pPr>
            <w:r w:rsidRPr="009716ED">
              <w:rPr>
                <w:b/>
                <w:color w:val="000000" w:themeColor="text1"/>
                <w:lang w:eastAsia="en-US"/>
              </w:rPr>
              <w:t>б) права</w:t>
            </w:r>
            <w:r w:rsidRPr="009716ED">
              <w:rPr>
                <w:b/>
                <w:color w:val="000000" w:themeColor="text1"/>
              </w:rPr>
              <w:t xml:space="preserve"> требования к юридическому лицу, возникши</w:t>
            </w:r>
            <w:r w:rsidR="00342C54">
              <w:rPr>
                <w:b/>
                <w:color w:val="000000" w:themeColor="text1"/>
              </w:rPr>
              <w:t>е</w:t>
            </w:r>
            <w:r w:rsidRPr="009716ED">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CF0525" w:rsidRPr="009716ED" w:rsidRDefault="00CF0525" w:rsidP="00CF0525">
            <w:pPr>
              <w:autoSpaceDE/>
              <w:autoSpaceDN/>
              <w:ind w:firstLine="567"/>
              <w:jc w:val="both"/>
            </w:pPr>
            <w:r w:rsidRPr="009716ED">
              <w:rPr>
                <w:b/>
              </w:rPr>
              <w:t>в)</w:t>
            </w:r>
            <w:r w:rsidRPr="009716ED">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w:t>
            </w:r>
            <w:r w:rsidRPr="009716ED">
              <w:lastRenderedPageBreak/>
              <w:t>членов валютного союза), не более чем на одну ступень;</w:t>
            </w:r>
          </w:p>
          <w:p w:rsidR="00CF0525" w:rsidRPr="009716ED" w:rsidRDefault="00CF0525" w:rsidP="00CF0525">
            <w:pPr>
              <w:autoSpaceDE/>
              <w:autoSpaceDN/>
              <w:ind w:firstLine="567"/>
              <w:jc w:val="both"/>
            </w:pPr>
            <w:r w:rsidRPr="009716ED">
              <w:rPr>
                <w:b/>
              </w:rPr>
              <w:t>г)</w:t>
            </w:r>
            <w:r w:rsidRPr="009716ED">
              <w:t xml:space="preserve"> ценные бумаги, входящие в расчет следующих фондовых индексов:</w:t>
            </w:r>
          </w:p>
          <w:p w:rsidR="00CF0525" w:rsidRPr="009716ED" w:rsidRDefault="00CF0525" w:rsidP="00CF0525">
            <w:pPr>
              <w:autoSpaceDE/>
              <w:autoSpaceDN/>
              <w:ind w:firstLine="567"/>
              <w:jc w:val="both"/>
            </w:pPr>
            <w:r w:rsidRPr="009716ED">
              <w:t xml:space="preserve">- </w:t>
            </w:r>
            <w:r w:rsidR="005407B2" w:rsidRPr="00A8522E">
              <w:rPr>
                <w:b/>
              </w:rPr>
              <w:t>S&amp;P/</w:t>
            </w:r>
            <w:r w:rsidRPr="009716ED">
              <w:rPr>
                <w:b/>
              </w:rPr>
              <w:t>ASX 200</w:t>
            </w:r>
            <w:r w:rsidRPr="009716ED">
              <w:t xml:space="preserve"> (Австралия),</w:t>
            </w:r>
          </w:p>
          <w:p w:rsidR="00CF0525" w:rsidRPr="009716ED" w:rsidRDefault="00CF0525" w:rsidP="00CF0525">
            <w:pPr>
              <w:autoSpaceDE/>
              <w:autoSpaceDN/>
              <w:ind w:firstLine="567"/>
              <w:jc w:val="both"/>
            </w:pPr>
            <w:r w:rsidRPr="009716ED">
              <w:t>- ATX (Австрия),</w:t>
            </w:r>
          </w:p>
          <w:p w:rsidR="00CF0525" w:rsidRPr="009716ED" w:rsidRDefault="00CF0525" w:rsidP="00CF0525">
            <w:pPr>
              <w:autoSpaceDE/>
              <w:autoSpaceDN/>
              <w:ind w:firstLine="567"/>
              <w:jc w:val="both"/>
            </w:pPr>
            <w:r w:rsidRPr="009716ED">
              <w:t>- BEL20 (Бельгия),</w:t>
            </w:r>
          </w:p>
          <w:p w:rsidR="00CF0525" w:rsidRPr="009716ED" w:rsidRDefault="00CF0525" w:rsidP="00CF0525">
            <w:pPr>
              <w:autoSpaceDE/>
              <w:autoSpaceDN/>
              <w:ind w:firstLine="567"/>
              <w:jc w:val="both"/>
            </w:pPr>
            <w:r w:rsidRPr="009716ED">
              <w:t xml:space="preserve">- </w:t>
            </w:r>
            <w:proofErr w:type="spellStart"/>
            <w:r w:rsidRPr="009716ED">
              <w:rPr>
                <w:b/>
              </w:rPr>
              <w:t>Bovespa</w:t>
            </w:r>
            <w:proofErr w:type="spellEnd"/>
            <w:r w:rsidRPr="009716ED">
              <w:rPr>
                <w:b/>
              </w:rPr>
              <w:t xml:space="preserve"> </w:t>
            </w:r>
            <w:proofErr w:type="spellStart"/>
            <w:r w:rsidRPr="009716ED">
              <w:rPr>
                <w:b/>
              </w:rPr>
              <w:t>Index</w:t>
            </w:r>
            <w:proofErr w:type="spellEnd"/>
            <w:r w:rsidRPr="009716ED">
              <w:t xml:space="preserve"> (Бразилия),</w:t>
            </w:r>
          </w:p>
          <w:p w:rsidR="00CF0525" w:rsidRPr="009716ED" w:rsidRDefault="00CF0525" w:rsidP="00CF0525">
            <w:pPr>
              <w:autoSpaceDE/>
              <w:autoSpaceDN/>
              <w:ind w:firstLine="567"/>
              <w:jc w:val="both"/>
            </w:pPr>
            <w:r w:rsidRPr="009716ED">
              <w:t xml:space="preserve">- </w:t>
            </w:r>
            <w:r w:rsidRPr="009716ED">
              <w:rPr>
                <w:b/>
                <w:lang w:val="en-US"/>
              </w:rPr>
              <w:t>BUX</w:t>
            </w:r>
            <w:r w:rsidRPr="009716ED">
              <w:t xml:space="preserve"> (Венгрия),</w:t>
            </w:r>
          </w:p>
          <w:p w:rsidR="00CF0525" w:rsidRPr="009716ED" w:rsidRDefault="00CF0525" w:rsidP="00CF0525">
            <w:pPr>
              <w:autoSpaceDE/>
              <w:autoSpaceDN/>
              <w:ind w:firstLine="567"/>
              <w:jc w:val="both"/>
            </w:pPr>
            <w:r w:rsidRPr="009716ED">
              <w:t>- FTSE 100 (Великобритания),</w:t>
            </w:r>
          </w:p>
          <w:p w:rsidR="00CF0525" w:rsidRPr="009716ED" w:rsidRDefault="00CF0525" w:rsidP="00CF0525">
            <w:pPr>
              <w:autoSpaceDE/>
              <w:autoSpaceDN/>
              <w:ind w:firstLine="567"/>
              <w:jc w:val="both"/>
            </w:pPr>
            <w:r w:rsidRPr="009716ED">
              <w:t xml:space="preserve">- </w:t>
            </w:r>
            <w:proofErr w:type="spellStart"/>
            <w:r w:rsidRPr="009716ED">
              <w:t>Hang</w:t>
            </w:r>
            <w:proofErr w:type="spellEnd"/>
            <w:r w:rsidRPr="009716ED">
              <w:t xml:space="preserve"> </w:t>
            </w:r>
            <w:proofErr w:type="spellStart"/>
            <w:r w:rsidRPr="009716ED">
              <w:t>Seng</w:t>
            </w:r>
            <w:proofErr w:type="spellEnd"/>
            <w:r w:rsidRPr="009716ED">
              <w:t xml:space="preserve"> (Гонконг),</w:t>
            </w:r>
          </w:p>
          <w:p w:rsidR="00CF0525" w:rsidRPr="009716ED" w:rsidRDefault="00CF0525" w:rsidP="00CF0525">
            <w:pPr>
              <w:autoSpaceDE/>
              <w:autoSpaceDN/>
              <w:ind w:firstLine="567"/>
              <w:jc w:val="both"/>
            </w:pPr>
            <w:r w:rsidRPr="009716ED">
              <w:t>- DAX (Германия),</w:t>
            </w:r>
          </w:p>
          <w:p w:rsidR="00CF0525" w:rsidRPr="009716ED" w:rsidRDefault="00CF0525" w:rsidP="00CF0525">
            <w:pPr>
              <w:autoSpaceDE/>
              <w:autoSpaceDN/>
              <w:ind w:firstLine="567"/>
              <w:jc w:val="both"/>
            </w:pPr>
            <w:r w:rsidRPr="009716ED">
              <w:t xml:space="preserve">- OMX </w:t>
            </w:r>
            <w:proofErr w:type="spellStart"/>
            <w:r w:rsidRPr="009716ED">
              <w:t>Copenhagen</w:t>
            </w:r>
            <w:proofErr w:type="spellEnd"/>
            <w:r w:rsidRPr="009716ED">
              <w:t xml:space="preserve"> 20 (Дания),</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TA-35</w:t>
            </w:r>
            <w:r w:rsidRPr="009716ED">
              <w:rPr>
                <w:lang w:val="en-US"/>
              </w:rPr>
              <w:t xml:space="preserve"> (</w:t>
            </w:r>
            <w:r w:rsidRPr="009716ED">
              <w:t>Израиль</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S&amp;P BSE SENSEX</w:t>
            </w:r>
            <w:r w:rsidRPr="009716ED">
              <w:rPr>
                <w:lang w:val="en-US"/>
              </w:rPr>
              <w:t xml:space="preserve"> (</w:t>
            </w:r>
            <w:r w:rsidRPr="009716ED">
              <w:t>Индия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ISEQ 20 (</w:t>
            </w:r>
            <w:r w:rsidRPr="009716ED">
              <w:t>Ирландия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 xml:space="preserve">OMX Iceland </w:t>
            </w:r>
            <w:r w:rsidR="00A04188" w:rsidRPr="009716ED">
              <w:rPr>
                <w:b/>
                <w:lang w:val="en-US"/>
              </w:rPr>
              <w:t>8</w:t>
            </w:r>
            <w:r w:rsidR="00A04188" w:rsidRPr="009716ED">
              <w:rPr>
                <w:lang w:val="en-US"/>
              </w:rPr>
              <w:t xml:space="preserve"> (</w:t>
            </w:r>
            <w:r w:rsidRPr="009716ED">
              <w:t>Исландия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IBEX 35 (</w:t>
            </w:r>
            <w:r w:rsidRPr="009716ED">
              <w:t>Испания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 MIB (</w:t>
            </w:r>
            <w:r w:rsidRPr="009716ED">
              <w:t>Италия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5407B2" w:rsidRPr="00A8522E">
              <w:rPr>
                <w:b/>
                <w:lang w:val="en-US"/>
              </w:rPr>
              <w:t>S&amp;P/TSX</w:t>
            </w:r>
            <w:r w:rsidRPr="009716ED">
              <w:rPr>
                <w:b/>
                <w:lang w:val="en-US"/>
              </w:rPr>
              <w:t xml:space="preserve"> </w:t>
            </w:r>
            <w:r w:rsidR="00A04188" w:rsidRPr="009716ED">
              <w:rPr>
                <w:b/>
                <w:lang w:val="en-US"/>
              </w:rPr>
              <w:t>Composite</w:t>
            </w:r>
            <w:r w:rsidR="00A04188" w:rsidRPr="009716ED">
              <w:rPr>
                <w:lang w:val="en-US"/>
              </w:rPr>
              <w:t xml:space="preserve"> (</w:t>
            </w:r>
            <w:r w:rsidRPr="009716ED">
              <w:t>Канада</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Shanghai SE</w:t>
            </w:r>
            <w:r w:rsidRPr="009716ED">
              <w:rPr>
                <w:lang w:val="en-US"/>
              </w:rPr>
              <w:t xml:space="preserve"> </w:t>
            </w:r>
            <w:r w:rsidR="005407B2" w:rsidRPr="00A8522E">
              <w:rPr>
                <w:b/>
                <w:lang w:val="en-US"/>
              </w:rPr>
              <w:t>Composite</w:t>
            </w:r>
            <w:r w:rsidRPr="009716ED">
              <w:rPr>
                <w:lang w:val="en-US"/>
              </w:rPr>
              <w:t xml:space="preserve"> (</w:t>
            </w:r>
            <w:r w:rsidRPr="009716ED">
              <w:t>Китай</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proofErr w:type="spellStart"/>
            <w:r w:rsidRPr="009716ED">
              <w:rPr>
                <w:b/>
                <w:lang w:val="en-US"/>
              </w:rPr>
              <w:t>LuxX</w:t>
            </w:r>
            <w:proofErr w:type="spellEnd"/>
            <w:r w:rsidRPr="009716ED">
              <w:rPr>
                <w:lang w:val="en-US"/>
              </w:rPr>
              <w:t xml:space="preserve"> (</w:t>
            </w:r>
            <w:r w:rsidRPr="009716ED">
              <w:t>Люксембург</w:t>
            </w:r>
            <w:r w:rsidRPr="009716ED">
              <w:rPr>
                <w:lang w:val="en-US"/>
              </w:rPr>
              <w:t>),</w:t>
            </w:r>
          </w:p>
          <w:p w:rsidR="00CF0525" w:rsidRPr="009716ED" w:rsidRDefault="00CF0525" w:rsidP="00CF0525">
            <w:pPr>
              <w:autoSpaceDE/>
              <w:autoSpaceDN/>
              <w:ind w:firstLine="567"/>
              <w:jc w:val="both"/>
              <w:rPr>
                <w:lang w:val="en-US"/>
              </w:rPr>
            </w:pPr>
            <w:r w:rsidRPr="009716ED">
              <w:rPr>
                <w:lang w:val="en-US"/>
              </w:rPr>
              <w:t>- IPC (</w:t>
            </w:r>
            <w:r w:rsidRPr="009716ED">
              <w:t>Мексика</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Pr="009716ED">
              <w:rPr>
                <w:b/>
                <w:lang w:val="en-US"/>
              </w:rPr>
              <w:t>AEX</w:t>
            </w:r>
            <w:r w:rsidRPr="009716ED">
              <w:rPr>
                <w:lang w:val="en-US"/>
              </w:rPr>
              <w:t xml:space="preserve"> (</w:t>
            </w:r>
            <w:r w:rsidRPr="009716ED">
              <w:t>Нидерланды</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S&amp;P/NZX 50</w:t>
            </w:r>
            <w:r w:rsidRPr="009716ED">
              <w:rPr>
                <w:lang w:val="en-US"/>
              </w:rPr>
              <w:t xml:space="preserve"> (</w:t>
            </w:r>
            <w:r w:rsidRPr="009716ED">
              <w:t>Новая</w:t>
            </w:r>
            <w:r w:rsidRPr="009716ED">
              <w:rPr>
                <w:lang w:val="en-US"/>
              </w:rPr>
              <w:t xml:space="preserve"> </w:t>
            </w:r>
            <w:r w:rsidRPr="009716ED">
              <w:t>Зеландия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OBX (</w:t>
            </w:r>
            <w:r w:rsidRPr="009716ED">
              <w:t>Норвегия</w:t>
            </w:r>
            <w:r w:rsidRPr="009716ED">
              <w:rPr>
                <w:lang w:val="en-US"/>
              </w:rPr>
              <w:t>),</w:t>
            </w:r>
          </w:p>
          <w:p w:rsidR="00CF0525" w:rsidRPr="009716ED" w:rsidRDefault="00CF0525" w:rsidP="00CF0525">
            <w:pPr>
              <w:autoSpaceDE/>
              <w:autoSpaceDN/>
              <w:ind w:firstLine="567"/>
              <w:jc w:val="both"/>
              <w:rPr>
                <w:lang w:val="en-US"/>
              </w:rPr>
            </w:pPr>
            <w:r w:rsidRPr="009716ED">
              <w:rPr>
                <w:lang w:val="en-US"/>
              </w:rPr>
              <w:t>- WIG (</w:t>
            </w:r>
            <w:r w:rsidRPr="009716ED">
              <w:t>Польша</w:t>
            </w:r>
            <w:r w:rsidRPr="009716ED">
              <w:rPr>
                <w:lang w:val="en-US"/>
              </w:rPr>
              <w:t>),</w:t>
            </w:r>
          </w:p>
          <w:p w:rsidR="00CF0525" w:rsidRPr="009716ED" w:rsidRDefault="00CF0525" w:rsidP="00CF0525">
            <w:pPr>
              <w:autoSpaceDE/>
              <w:autoSpaceDN/>
              <w:ind w:firstLine="567"/>
              <w:jc w:val="both"/>
              <w:rPr>
                <w:lang w:val="en-US"/>
              </w:rPr>
            </w:pPr>
            <w:r w:rsidRPr="009716ED">
              <w:rPr>
                <w:lang w:val="en-US"/>
              </w:rPr>
              <w:t>- PSI 20 (</w:t>
            </w:r>
            <w:r w:rsidRPr="009716ED">
              <w:t>Португалия</w:t>
            </w:r>
            <w:r w:rsidRPr="009716ED">
              <w:rPr>
                <w:lang w:val="en-US"/>
              </w:rPr>
              <w:t>),</w:t>
            </w:r>
          </w:p>
          <w:p w:rsidR="00CF0525" w:rsidRPr="009716ED" w:rsidRDefault="00CF0525" w:rsidP="00CF0525">
            <w:pPr>
              <w:autoSpaceDE/>
              <w:autoSpaceDN/>
              <w:ind w:firstLine="567"/>
              <w:jc w:val="both"/>
            </w:pPr>
            <w:r w:rsidRPr="009716ED">
              <w:t xml:space="preserve">- </w:t>
            </w:r>
            <w:r w:rsidR="00787F40" w:rsidRPr="009716ED">
              <w:rPr>
                <w:b/>
              </w:rPr>
              <w:t xml:space="preserve">Индекс </w:t>
            </w:r>
            <w:proofErr w:type="spellStart"/>
            <w:r w:rsidR="00787F40" w:rsidRPr="009716ED">
              <w:rPr>
                <w:b/>
              </w:rPr>
              <w:t>МосБиржи</w:t>
            </w:r>
            <w:proofErr w:type="spellEnd"/>
            <w:r w:rsidRPr="009716ED">
              <w:t xml:space="preserve"> (Россия),</w:t>
            </w:r>
          </w:p>
          <w:p w:rsidR="00CF0525" w:rsidRPr="009716ED" w:rsidRDefault="00CF0525" w:rsidP="00CF0525">
            <w:pPr>
              <w:autoSpaceDE/>
              <w:autoSpaceDN/>
              <w:ind w:firstLine="567"/>
              <w:jc w:val="both"/>
            </w:pPr>
            <w:r w:rsidRPr="009716ED">
              <w:t xml:space="preserve">- </w:t>
            </w:r>
            <w:r w:rsidR="00970ACC">
              <w:rPr>
                <w:b/>
              </w:rPr>
              <w:t>Индекс</w:t>
            </w:r>
            <w:r w:rsidR="005407B2" w:rsidRPr="00A8522E">
              <w:rPr>
                <w:b/>
              </w:rPr>
              <w:t xml:space="preserve"> РТС</w:t>
            </w:r>
            <w:r w:rsidRPr="009716ED">
              <w:t xml:space="preserve"> (Россия),</w:t>
            </w:r>
          </w:p>
          <w:p w:rsidR="00CF0525" w:rsidRPr="009716ED" w:rsidRDefault="00CF0525" w:rsidP="00CF0525">
            <w:pPr>
              <w:autoSpaceDE/>
              <w:autoSpaceDN/>
              <w:ind w:firstLine="567"/>
              <w:jc w:val="both"/>
            </w:pPr>
            <w:r w:rsidRPr="009716ED">
              <w:t>- SAX (Словакия),</w:t>
            </w:r>
          </w:p>
          <w:p w:rsidR="00CF0525" w:rsidRPr="009716ED" w:rsidRDefault="00CF0525" w:rsidP="00CF0525">
            <w:pPr>
              <w:autoSpaceDE/>
              <w:autoSpaceDN/>
              <w:ind w:firstLine="567"/>
              <w:jc w:val="both"/>
            </w:pPr>
            <w:r w:rsidRPr="009716ED">
              <w:t xml:space="preserve">- </w:t>
            </w:r>
            <w:r w:rsidRPr="009716ED">
              <w:rPr>
                <w:b/>
                <w:lang w:val="en-US"/>
              </w:rPr>
              <w:t>SBI</w:t>
            </w:r>
            <w:r w:rsidR="00787F40" w:rsidRPr="009716ED">
              <w:rPr>
                <w:b/>
              </w:rPr>
              <w:t xml:space="preserve"> </w:t>
            </w:r>
            <w:r w:rsidRPr="009716ED">
              <w:rPr>
                <w:b/>
                <w:lang w:val="en-US"/>
              </w:rPr>
              <w:t>TOP</w:t>
            </w:r>
            <w:r w:rsidRPr="009716ED">
              <w:t xml:space="preserve"> (Словения),</w:t>
            </w:r>
          </w:p>
          <w:p w:rsidR="00CF0525" w:rsidRPr="009716ED" w:rsidRDefault="00CF0525" w:rsidP="00CF0525">
            <w:pPr>
              <w:autoSpaceDE/>
              <w:autoSpaceDN/>
              <w:ind w:firstLine="567"/>
              <w:jc w:val="both"/>
              <w:rPr>
                <w:lang w:val="en-US"/>
              </w:rPr>
            </w:pPr>
            <w:r w:rsidRPr="009716ED">
              <w:rPr>
                <w:lang w:val="en-US"/>
              </w:rPr>
              <w:t>- Dow Jones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S&amp;P 500 (</w:t>
            </w:r>
            <w:r w:rsidRPr="009716ED">
              <w:t>США</w:t>
            </w:r>
            <w:r w:rsidRPr="009716ED">
              <w:rPr>
                <w:lang w:val="en-US"/>
              </w:rPr>
              <w:t>),</w:t>
            </w:r>
          </w:p>
          <w:p w:rsidR="00CF0525" w:rsidRPr="009716ED" w:rsidRDefault="00CF0525" w:rsidP="00CF0525">
            <w:pPr>
              <w:autoSpaceDE/>
              <w:autoSpaceDN/>
              <w:ind w:firstLine="567"/>
              <w:jc w:val="both"/>
              <w:rPr>
                <w:lang w:val="en-US"/>
              </w:rPr>
            </w:pPr>
            <w:r w:rsidRPr="009716ED">
              <w:rPr>
                <w:lang w:val="en-US"/>
              </w:rPr>
              <w:t>- BIST 100 (</w:t>
            </w:r>
            <w:r w:rsidRPr="009716ED">
              <w:t>Турция</w:t>
            </w:r>
            <w:r w:rsidRPr="009716ED">
              <w:rPr>
                <w:lang w:val="en-US"/>
              </w:rPr>
              <w:t>),</w:t>
            </w:r>
          </w:p>
          <w:p w:rsidR="00CF0525" w:rsidRPr="009716ED" w:rsidRDefault="00CF0525" w:rsidP="00CF0525">
            <w:pPr>
              <w:autoSpaceDE/>
              <w:autoSpaceDN/>
              <w:ind w:firstLine="567"/>
              <w:jc w:val="both"/>
              <w:rPr>
                <w:lang w:val="en-US"/>
              </w:rPr>
            </w:pPr>
            <w:r w:rsidRPr="009716ED">
              <w:rPr>
                <w:lang w:val="en-US"/>
              </w:rPr>
              <w:t>- OMX Helsinki 25 (</w:t>
            </w:r>
            <w:r w:rsidRPr="009716ED">
              <w:t>Финляндия</w:t>
            </w:r>
            <w:r w:rsidRPr="009716ED">
              <w:rPr>
                <w:lang w:val="en-US"/>
              </w:rPr>
              <w:t>),</w:t>
            </w:r>
          </w:p>
          <w:p w:rsidR="00CF0525" w:rsidRPr="009716ED" w:rsidRDefault="00CF0525" w:rsidP="00CF0525">
            <w:pPr>
              <w:autoSpaceDE/>
              <w:autoSpaceDN/>
              <w:ind w:firstLine="567"/>
              <w:jc w:val="both"/>
            </w:pPr>
            <w:r w:rsidRPr="009716ED">
              <w:t>- CAC 40 (Франция),</w:t>
            </w:r>
          </w:p>
          <w:p w:rsidR="00CF0525" w:rsidRPr="009716ED" w:rsidRDefault="00CF0525" w:rsidP="00CF0525">
            <w:pPr>
              <w:autoSpaceDE/>
              <w:autoSpaceDN/>
              <w:ind w:firstLine="567"/>
              <w:jc w:val="both"/>
            </w:pPr>
            <w:r w:rsidRPr="009716ED">
              <w:t xml:space="preserve">- PX </w:t>
            </w:r>
            <w:proofErr w:type="spellStart"/>
            <w:r w:rsidRPr="009716ED">
              <w:t>Index</w:t>
            </w:r>
            <w:proofErr w:type="spellEnd"/>
            <w:r w:rsidRPr="009716ED">
              <w:t xml:space="preserve"> (Чешская республика),</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S&amp;P/CLX IPSA</w:t>
            </w:r>
            <w:r w:rsidRPr="009716ED">
              <w:rPr>
                <w:lang w:val="en-US"/>
              </w:rPr>
              <w:t xml:space="preserve"> (</w:t>
            </w:r>
            <w:r w:rsidRPr="009716ED">
              <w:t>Чили</w:t>
            </w:r>
            <w:r w:rsidRPr="009716ED">
              <w:rPr>
                <w:lang w:val="en-US"/>
              </w:rPr>
              <w:t>),</w:t>
            </w:r>
          </w:p>
          <w:p w:rsidR="00CF0525" w:rsidRPr="009716ED" w:rsidRDefault="00CF0525" w:rsidP="00CF0525">
            <w:pPr>
              <w:autoSpaceDE/>
              <w:autoSpaceDN/>
              <w:ind w:firstLine="567"/>
              <w:jc w:val="both"/>
              <w:rPr>
                <w:lang w:val="en-US"/>
              </w:rPr>
            </w:pPr>
            <w:r w:rsidRPr="009716ED">
              <w:rPr>
                <w:lang w:val="en-US"/>
              </w:rPr>
              <w:t>- SMI (</w:t>
            </w:r>
            <w:r w:rsidRPr="009716ED">
              <w:t>Швейцария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OMX Stockholm 30</w:t>
            </w:r>
            <w:r w:rsidRPr="009716ED">
              <w:rPr>
                <w:lang w:val="en-US"/>
              </w:rPr>
              <w:t xml:space="preserve"> (</w:t>
            </w:r>
            <w:r w:rsidRPr="009716ED">
              <w:t>Швеция</w:t>
            </w:r>
            <w:r w:rsidRPr="009716ED">
              <w:rPr>
                <w:lang w:val="en-US"/>
              </w:rPr>
              <w:t>),</w:t>
            </w:r>
          </w:p>
          <w:p w:rsidR="00CF0525" w:rsidRPr="009716ED" w:rsidRDefault="00CF0525" w:rsidP="00CF0525">
            <w:pPr>
              <w:autoSpaceDE/>
              <w:autoSpaceDN/>
              <w:ind w:firstLine="567"/>
              <w:jc w:val="both"/>
              <w:rPr>
                <w:lang w:val="en-US"/>
              </w:rPr>
            </w:pPr>
            <w:r w:rsidRPr="009716ED">
              <w:rPr>
                <w:lang w:val="en-US"/>
              </w:rPr>
              <w:t xml:space="preserve">- </w:t>
            </w:r>
            <w:r w:rsidR="00787F40" w:rsidRPr="009716ED">
              <w:rPr>
                <w:b/>
                <w:lang w:val="en-US"/>
              </w:rPr>
              <w:t>OMX TALLINN_GI</w:t>
            </w:r>
            <w:r w:rsidR="00787F40" w:rsidRPr="009716ED">
              <w:rPr>
                <w:rFonts w:ascii="Arial" w:hAnsi="Arial" w:cs="Arial"/>
                <w:lang w:val="en-US"/>
              </w:rPr>
              <w:t xml:space="preserve"> </w:t>
            </w:r>
            <w:r w:rsidRPr="009716ED">
              <w:rPr>
                <w:lang w:val="en-US"/>
              </w:rPr>
              <w:t>(</w:t>
            </w:r>
            <w:r w:rsidRPr="009716ED">
              <w:t>Эстония</w:t>
            </w:r>
            <w:r w:rsidRPr="009716ED">
              <w:rPr>
                <w:lang w:val="en-US"/>
              </w:rPr>
              <w:t>),</w:t>
            </w:r>
          </w:p>
          <w:p w:rsidR="00CF0525" w:rsidRPr="009716ED" w:rsidRDefault="00CF0525" w:rsidP="00CF0525">
            <w:pPr>
              <w:autoSpaceDE/>
              <w:autoSpaceDN/>
              <w:ind w:firstLine="567"/>
              <w:jc w:val="both"/>
              <w:rPr>
                <w:lang w:val="en-US"/>
              </w:rPr>
            </w:pPr>
            <w:r w:rsidRPr="009716ED">
              <w:rPr>
                <w:lang w:val="en-US"/>
              </w:rPr>
              <w:t>- FTSE/JSE Top40 (</w:t>
            </w:r>
            <w:r w:rsidRPr="009716ED">
              <w:t>ЮАР</w:t>
            </w:r>
            <w:r w:rsidRPr="009716ED">
              <w:rPr>
                <w:lang w:val="en-US"/>
              </w:rPr>
              <w:t>),</w:t>
            </w:r>
          </w:p>
          <w:p w:rsidR="00CF0525" w:rsidRPr="009716ED" w:rsidRDefault="00CF0525" w:rsidP="00CF0525">
            <w:pPr>
              <w:autoSpaceDE/>
              <w:autoSpaceDN/>
              <w:ind w:firstLine="567"/>
              <w:jc w:val="both"/>
              <w:rPr>
                <w:lang w:val="en-US"/>
              </w:rPr>
            </w:pPr>
            <w:r w:rsidRPr="009716ED">
              <w:rPr>
                <w:lang w:val="en-US"/>
              </w:rPr>
              <w:t>- KOSPI (</w:t>
            </w:r>
            <w:r w:rsidRPr="009716ED">
              <w:t>Южная</w:t>
            </w:r>
            <w:r w:rsidRPr="009716ED">
              <w:rPr>
                <w:lang w:val="en-US"/>
              </w:rPr>
              <w:t xml:space="preserve"> </w:t>
            </w:r>
            <w:r w:rsidRPr="009716ED">
              <w:t>Корея</w:t>
            </w:r>
            <w:r w:rsidRPr="009716ED">
              <w:rPr>
                <w:lang w:val="en-US"/>
              </w:rPr>
              <w:t>),</w:t>
            </w:r>
          </w:p>
          <w:p w:rsidR="00CF0525" w:rsidRPr="009716ED" w:rsidRDefault="00CF0525" w:rsidP="00CF0525">
            <w:pPr>
              <w:autoSpaceDE/>
              <w:autoSpaceDN/>
              <w:ind w:firstLine="567"/>
              <w:jc w:val="both"/>
              <w:rPr>
                <w:lang w:val="en-US"/>
              </w:rPr>
            </w:pPr>
            <w:r w:rsidRPr="009716ED">
              <w:rPr>
                <w:lang w:val="en-US"/>
              </w:rPr>
              <w:t>- Nikkei 225 (</w:t>
            </w:r>
            <w:r w:rsidRPr="009716ED">
              <w:t>Япония</w:t>
            </w:r>
            <w:r w:rsidR="00787F40" w:rsidRPr="009716ED">
              <w:rPr>
                <w:lang w:val="en-US"/>
              </w:rPr>
              <w:t>),</w:t>
            </w:r>
          </w:p>
          <w:p w:rsidR="00787F40" w:rsidRPr="009716ED" w:rsidRDefault="00787F40" w:rsidP="00CF0525">
            <w:pPr>
              <w:autoSpaceDE/>
              <w:autoSpaceDN/>
              <w:ind w:firstLine="567"/>
              <w:jc w:val="both"/>
            </w:pPr>
            <w:r w:rsidRPr="009716ED">
              <w:t xml:space="preserve">- </w:t>
            </w:r>
            <w:r w:rsidRPr="009716ED">
              <w:rPr>
                <w:b/>
              </w:rPr>
              <w:t xml:space="preserve">Индекс </w:t>
            </w:r>
            <w:proofErr w:type="spellStart"/>
            <w:r w:rsidRPr="009716ED">
              <w:rPr>
                <w:b/>
              </w:rPr>
              <w:t>МосБиржи</w:t>
            </w:r>
            <w:proofErr w:type="spellEnd"/>
            <w:r w:rsidRPr="009716ED">
              <w:rPr>
                <w:b/>
              </w:rPr>
              <w:t xml:space="preserve"> голубых фишек (Россия).</w:t>
            </w:r>
          </w:p>
          <w:p w:rsidR="00CF0525" w:rsidRPr="009716ED" w:rsidRDefault="00CF0525" w:rsidP="00CF0525">
            <w:pPr>
              <w:autoSpaceDE/>
              <w:autoSpaceDN/>
              <w:ind w:firstLine="567"/>
              <w:jc w:val="both"/>
            </w:pPr>
            <w:r w:rsidRPr="009716ED">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5407B2" w:rsidRDefault="00CF0525" w:rsidP="00A8522E">
            <w:pPr>
              <w:autoSpaceDE/>
              <w:autoSpaceDN/>
              <w:ind w:firstLine="567"/>
              <w:jc w:val="both"/>
              <w:rPr>
                <w:lang w:eastAsia="en-US"/>
              </w:rPr>
            </w:pPr>
            <w:r w:rsidRPr="009716ED">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9586D" w:rsidRPr="009716ED" w:rsidTr="00FD509D">
        <w:trPr>
          <w:trHeight w:val="652"/>
        </w:trPr>
        <w:tc>
          <w:tcPr>
            <w:tcW w:w="568" w:type="dxa"/>
          </w:tcPr>
          <w:p w:rsidR="0019586D" w:rsidRPr="009716ED" w:rsidRDefault="0019586D"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4</w:t>
            </w:r>
          </w:p>
        </w:tc>
        <w:tc>
          <w:tcPr>
            <w:tcW w:w="1076" w:type="dxa"/>
          </w:tcPr>
          <w:p w:rsidR="0019586D" w:rsidRPr="009716ED" w:rsidRDefault="0019586D"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22.8.</w:t>
            </w:r>
          </w:p>
        </w:tc>
        <w:tc>
          <w:tcPr>
            <w:tcW w:w="4168" w:type="dxa"/>
          </w:tcPr>
          <w:p w:rsidR="0019586D" w:rsidRPr="009716ED" w:rsidRDefault="0019586D" w:rsidP="00CF0525">
            <w:pPr>
              <w:autoSpaceDE/>
              <w:autoSpaceDN/>
              <w:ind w:firstLine="567"/>
              <w:jc w:val="both"/>
            </w:pPr>
          </w:p>
        </w:tc>
        <w:tc>
          <w:tcPr>
            <w:tcW w:w="4253" w:type="dxa"/>
          </w:tcPr>
          <w:p w:rsidR="0019586D" w:rsidRPr="009716ED" w:rsidRDefault="0019586D" w:rsidP="00CF0525">
            <w:pPr>
              <w:autoSpaceDE/>
              <w:autoSpaceDN/>
              <w:ind w:firstLine="567"/>
              <w:jc w:val="both"/>
            </w:pPr>
            <w:r w:rsidRPr="009716ED">
              <w:rPr>
                <w:b/>
              </w:rPr>
              <w:t xml:space="preserve">В состав активов фонда не могут входить ценные бумаги, выпущенные (выданные) в соответствии с законодательством Российской Федерации о </w:t>
            </w:r>
            <w:r w:rsidRPr="009716ED">
              <w:rPr>
                <w:b/>
              </w:rPr>
              <w:lastRenderedPageBreak/>
              <w:t>рынке ценных бумаг и предназначенные только для квалифицированных инвесторов.</w:t>
            </w:r>
          </w:p>
        </w:tc>
      </w:tr>
      <w:tr w:rsidR="0019586D" w:rsidRPr="009716ED" w:rsidTr="00FD509D">
        <w:trPr>
          <w:trHeight w:val="652"/>
        </w:trPr>
        <w:tc>
          <w:tcPr>
            <w:tcW w:w="568" w:type="dxa"/>
          </w:tcPr>
          <w:p w:rsidR="0019586D"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5</w:t>
            </w:r>
          </w:p>
        </w:tc>
        <w:tc>
          <w:tcPr>
            <w:tcW w:w="1076" w:type="dxa"/>
          </w:tcPr>
          <w:p w:rsidR="0019586D" w:rsidRPr="009716ED" w:rsidRDefault="0019586D"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22.9.</w:t>
            </w:r>
          </w:p>
        </w:tc>
        <w:tc>
          <w:tcPr>
            <w:tcW w:w="4168" w:type="dxa"/>
          </w:tcPr>
          <w:p w:rsidR="0019586D" w:rsidRPr="009716ED" w:rsidRDefault="0019586D" w:rsidP="00CF0525">
            <w:pPr>
              <w:autoSpaceDE/>
              <w:autoSpaceDN/>
              <w:ind w:firstLine="567"/>
              <w:jc w:val="both"/>
            </w:pPr>
          </w:p>
        </w:tc>
        <w:tc>
          <w:tcPr>
            <w:tcW w:w="4253" w:type="dxa"/>
          </w:tcPr>
          <w:p w:rsidR="0019586D" w:rsidRPr="009716ED" w:rsidRDefault="0019586D" w:rsidP="00CF0525">
            <w:pPr>
              <w:autoSpaceDE/>
              <w:autoSpaceDN/>
              <w:ind w:firstLine="567"/>
              <w:jc w:val="both"/>
              <w:rPr>
                <w:b/>
              </w:rPr>
            </w:pPr>
            <w:r w:rsidRPr="009716ED">
              <w:rPr>
                <w:b/>
                <w:color w:val="000000" w:themeColor="text1"/>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r>
      <w:tr w:rsidR="00A64D1E" w:rsidRPr="009716ED" w:rsidTr="00FD509D">
        <w:trPr>
          <w:trHeight w:val="652"/>
        </w:trPr>
        <w:tc>
          <w:tcPr>
            <w:tcW w:w="568" w:type="dxa"/>
          </w:tcPr>
          <w:p w:rsidR="00A64D1E"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6</w:t>
            </w:r>
          </w:p>
        </w:tc>
        <w:tc>
          <w:tcPr>
            <w:tcW w:w="1076" w:type="dxa"/>
          </w:tcPr>
          <w:p w:rsidR="00A64D1E" w:rsidRPr="009716ED" w:rsidRDefault="00F90D41" w:rsidP="00CE4D14">
            <w:pPr>
              <w:pStyle w:val="prg3"/>
              <w:numPr>
                <w:ilvl w:val="0"/>
                <w:numId w:val="0"/>
              </w:numPr>
              <w:spacing w:before="0" w:after="120"/>
              <w:jc w:val="center"/>
              <w:rPr>
                <w:rFonts w:ascii="Times New Roman" w:hAnsi="Times New Roman" w:cs="Times New Roman"/>
                <w:kern w:val="0"/>
                <w:lang w:val="en-US"/>
              </w:rPr>
            </w:pPr>
            <w:r w:rsidRPr="009716ED">
              <w:rPr>
                <w:rFonts w:ascii="Times New Roman" w:hAnsi="Times New Roman" w:cs="Times New Roman"/>
                <w:kern w:val="0"/>
                <w:lang w:val="en-US"/>
              </w:rPr>
              <w:t>23.1.2.</w:t>
            </w:r>
          </w:p>
        </w:tc>
        <w:tc>
          <w:tcPr>
            <w:tcW w:w="4168" w:type="dxa"/>
          </w:tcPr>
          <w:p w:rsidR="0019586D" w:rsidRPr="009716ED" w:rsidRDefault="0019586D" w:rsidP="0019586D">
            <w:pPr>
              <w:autoSpaceDE/>
              <w:autoSpaceDN/>
              <w:ind w:firstLine="567"/>
              <w:jc w:val="both"/>
            </w:pPr>
            <w:r w:rsidRPr="009716ED">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9716ED">
              <w:rPr>
                <w:b/>
              </w:rPr>
              <w:t>соответствующее</w:t>
            </w:r>
            <w:r w:rsidRPr="009716ED">
              <w:t xml:space="preserve"> юридическое лицо является кредитной организацией</w:t>
            </w:r>
            <w:r w:rsidRPr="009716ED">
              <w:rPr>
                <w:lang w:eastAsia="en-US"/>
              </w:rPr>
              <w:t xml:space="preserve"> </w:t>
            </w:r>
            <w:r w:rsidRPr="009716ED">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9716ED">
              <w:rPr>
                <w:lang w:eastAsia="en-US"/>
              </w:rPr>
              <w:t>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9716ED">
              <w:rPr>
                <w:b/>
                <w:lang w:eastAsia="en-US"/>
              </w:rPr>
              <w:t xml:space="preserve"> </w:t>
            </w:r>
            <w:r w:rsidRPr="009716ED">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9586D" w:rsidRPr="009716ED" w:rsidRDefault="0019586D" w:rsidP="0019586D">
            <w:pPr>
              <w:autoSpaceDE/>
              <w:autoSpaceDN/>
              <w:ind w:firstLine="567"/>
              <w:jc w:val="both"/>
            </w:pPr>
            <w:r w:rsidRPr="009716ED">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19586D" w:rsidRPr="009716ED" w:rsidRDefault="0019586D" w:rsidP="0019586D">
            <w:pPr>
              <w:autoSpaceDE/>
              <w:autoSpaceDN/>
              <w:ind w:firstLine="567"/>
              <w:jc w:val="both"/>
            </w:pPr>
            <w:r w:rsidRPr="009716E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9586D" w:rsidRPr="009716ED" w:rsidRDefault="0019586D" w:rsidP="0019586D">
            <w:pPr>
              <w:autoSpaceDE/>
              <w:autoSpaceDN/>
              <w:ind w:firstLine="567"/>
              <w:jc w:val="both"/>
            </w:pPr>
            <w:r w:rsidRPr="009716ED">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9716ED">
              <w:rPr>
                <w:lang w:eastAsia="en-US"/>
              </w:rPr>
              <w:t>.</w:t>
            </w:r>
            <w:r w:rsidRPr="009716ED">
              <w:t xml:space="preserve"> Если лицо, обязанное по ценным бумагам инвестиционного фонда, не предоставляет и (или) не раскрывает информацию об активах, в которые </w:t>
            </w:r>
            <w:r w:rsidRPr="009716ED">
              <w:lastRenderedPageBreak/>
              <w:t xml:space="preserve">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9716ED">
              <w:rPr>
                <w:b/>
              </w:rPr>
              <w:t>(розничными)</w:t>
            </w:r>
            <w:r w:rsidRPr="009716ED">
              <w:t xml:space="preserve"> инвесторами (неограниченным кругом лиц) </w:t>
            </w:r>
            <w:r w:rsidRPr="009716ED">
              <w:rPr>
                <w:b/>
              </w:rPr>
              <w:t>и исходя из</w:t>
            </w:r>
            <w:r w:rsidRPr="009716ED">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19586D" w:rsidRPr="009716ED" w:rsidRDefault="0019586D" w:rsidP="0019586D">
            <w:pPr>
              <w:autoSpaceDE/>
              <w:autoSpaceDN/>
              <w:ind w:firstLine="567"/>
              <w:jc w:val="both"/>
            </w:pPr>
            <w:r w:rsidRPr="009716ED">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9716ED">
              <w:rPr>
                <w:b/>
              </w:rPr>
              <w:t>которая не учитывается при расчете указанного ограничения,</w:t>
            </w:r>
            <w:r w:rsidRPr="009716ED">
              <w:t xml:space="preserve"> в отношении всех денежных средств в рублях и в иностранной валюте на всех счетах, составляющих фонд, не </w:t>
            </w:r>
            <w:r w:rsidRPr="009716ED">
              <w:rPr>
                <w:b/>
              </w:rPr>
              <w:t>может</w:t>
            </w:r>
            <w:r w:rsidRPr="009716ED">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19586D" w:rsidRPr="009716ED" w:rsidRDefault="0019586D" w:rsidP="0019586D">
            <w:pPr>
              <w:autoSpaceDE/>
              <w:autoSpaceDN/>
              <w:ind w:firstLine="567"/>
              <w:jc w:val="both"/>
              <w:rPr>
                <w:b/>
                <w:lang w:eastAsia="en-US"/>
              </w:rPr>
            </w:pPr>
            <w:r w:rsidRPr="009716ED">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19586D" w:rsidRPr="009716ED" w:rsidRDefault="0019586D" w:rsidP="0019586D">
            <w:pPr>
              <w:autoSpaceDE/>
              <w:autoSpaceDN/>
              <w:ind w:firstLine="567"/>
              <w:jc w:val="both"/>
              <w:rPr>
                <w:lang w:eastAsia="en-US"/>
              </w:rPr>
            </w:pPr>
            <w:r w:rsidRPr="009716E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lastRenderedPageBreak/>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19586D" w:rsidRPr="009716ED" w:rsidRDefault="0019586D" w:rsidP="0019586D">
            <w:pPr>
              <w:autoSpaceDE/>
              <w:autoSpaceDN/>
              <w:ind w:firstLine="567"/>
              <w:jc w:val="both"/>
            </w:pPr>
            <w:r w:rsidRPr="009716ED">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64D1E" w:rsidRPr="009716ED" w:rsidRDefault="00A64D1E" w:rsidP="00A64D1E">
            <w:pPr>
              <w:autoSpaceDE/>
              <w:autoSpaceDN/>
              <w:spacing w:before="60" w:after="60"/>
              <w:jc w:val="both"/>
              <w:rPr>
                <w:lang w:eastAsia="en-US"/>
              </w:rPr>
            </w:pPr>
          </w:p>
        </w:tc>
        <w:tc>
          <w:tcPr>
            <w:tcW w:w="4253" w:type="dxa"/>
          </w:tcPr>
          <w:p w:rsidR="0019586D" w:rsidRPr="009716ED" w:rsidRDefault="0019586D" w:rsidP="0019586D">
            <w:pPr>
              <w:autoSpaceDE/>
              <w:autoSpaceDN/>
              <w:ind w:firstLine="567"/>
              <w:jc w:val="both"/>
            </w:pPr>
            <w:r w:rsidRPr="009716ED">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9716ED">
              <w:rPr>
                <w:lang w:eastAsia="en-US"/>
              </w:rPr>
              <w:t xml:space="preserve"> </w:t>
            </w:r>
            <w:r w:rsidRPr="009716ED">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000024C8" w:rsidRPr="009716ED">
              <w:rPr>
                <w:b/>
              </w:rPr>
              <w:t xml:space="preserve"> права </w:t>
            </w:r>
            <w:r w:rsidR="000024C8" w:rsidRPr="009716ED">
              <w:rPr>
                <w:b/>
                <w:lang w:eastAsia="en-US"/>
              </w:rPr>
              <w:t>требования к такому юридическому лицу</w:t>
            </w:r>
            <w:r w:rsidR="000024C8" w:rsidRPr="009716ED">
              <w:rPr>
                <w:lang w:eastAsia="en-US"/>
              </w:rPr>
              <w:t xml:space="preserve">, </w:t>
            </w:r>
            <w:r w:rsidR="000024C8" w:rsidRPr="009716ED">
              <w:rPr>
                <w:b/>
              </w:rPr>
              <w:t>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000024C8" w:rsidRPr="009716ED">
              <w:t xml:space="preserve"> </w:t>
            </w:r>
            <w:r w:rsidRPr="009716ED">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0024C8" w:rsidRPr="009716ED" w:rsidRDefault="000024C8" w:rsidP="000024C8">
            <w:pPr>
              <w:adjustRightInd w:val="0"/>
              <w:jc w:val="both"/>
            </w:pPr>
            <w:r w:rsidRPr="009716ED">
              <w:t xml:space="preserve">         </w:t>
            </w:r>
            <w:r w:rsidR="0019586D" w:rsidRPr="009716ED">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r w:rsidRPr="009716ED">
              <w:t xml:space="preserve"> </w:t>
            </w:r>
            <w:r w:rsidRPr="009716ED">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19586D" w:rsidRPr="009716ED" w:rsidRDefault="0019586D" w:rsidP="0019586D">
            <w:pPr>
              <w:autoSpaceDE/>
              <w:autoSpaceDN/>
              <w:ind w:firstLine="567"/>
              <w:jc w:val="both"/>
            </w:pPr>
            <w:r w:rsidRPr="009716E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E4782C" w:rsidRPr="009716ED" w:rsidRDefault="0019586D" w:rsidP="00E4782C">
            <w:pPr>
              <w:ind w:firstLine="567"/>
              <w:jc w:val="both"/>
            </w:pPr>
            <w:r w:rsidRPr="009716ED">
              <w:t xml:space="preserve">Для целей настоящего пункта ценные бумаги инвестиционных фондов, в том числе иностранных инвестиционных фондов, и </w:t>
            </w:r>
            <w:r w:rsidRPr="009716ED">
              <w:lastRenderedPageBreak/>
              <w:t>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9716ED">
              <w:rPr>
                <w:lang w:eastAsia="en-US"/>
              </w:rPr>
              <w:t>.</w:t>
            </w:r>
            <w:r w:rsidRPr="009716ED">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0024C8" w:rsidRPr="009716ED">
              <w:t>,</w:t>
            </w:r>
            <w:r w:rsidR="000024C8" w:rsidRPr="009716ED">
              <w:rPr>
                <w:b/>
              </w:rPr>
              <w:t xml:space="preserve"> а также</w:t>
            </w:r>
            <w:r w:rsidR="000024C8" w:rsidRPr="009716ED">
              <w:t xml:space="preserve"> </w:t>
            </w:r>
            <w:r w:rsidR="000024C8" w:rsidRPr="009716ED">
              <w:rPr>
                <w:b/>
              </w:rPr>
              <w:t>при наличии одного из следующих обстоятельств:</w:t>
            </w:r>
            <w:r w:rsidR="000024C8" w:rsidRPr="009716ED">
              <w:t xml:space="preserve"> </w:t>
            </w:r>
            <w:r w:rsidR="000024C8" w:rsidRPr="009716ED">
              <w:rPr>
                <w:b/>
              </w:rPr>
              <w:t>в соответствии с</w:t>
            </w:r>
            <w:r w:rsidR="000024C8" w:rsidRPr="009716ED">
              <w:t xml:space="preserve"> </w:t>
            </w:r>
            <w:r w:rsidR="000024C8" w:rsidRPr="009716ED">
              <w:rPr>
                <w:b/>
              </w:rPr>
              <w:t>требованиями</w:t>
            </w:r>
            <w:r w:rsidR="000024C8" w:rsidRPr="009716ED">
              <w:t xml:space="preserve">, </w:t>
            </w:r>
            <w:r w:rsidRPr="009716ED">
              <w:t xml:space="preserve"> </w:t>
            </w:r>
            <w:r w:rsidRPr="009716ED">
              <w:rPr>
                <w:b/>
              </w:rPr>
              <w:t>предъявляемы</w:t>
            </w:r>
            <w:r w:rsidR="00E03495" w:rsidRPr="009716ED">
              <w:rPr>
                <w:b/>
              </w:rPr>
              <w:t>ми</w:t>
            </w:r>
            <w:r w:rsidRPr="009716ED">
              <w:t xml:space="preserve"> к деятельности инве</w:t>
            </w:r>
            <w:r w:rsidR="00E03495" w:rsidRPr="009716ED">
              <w:t xml:space="preserve">стиционного фонда, или </w:t>
            </w:r>
            <w:r w:rsidR="00E03495" w:rsidRPr="009716ED">
              <w:rPr>
                <w:b/>
              </w:rPr>
              <w:t>документами</w:t>
            </w:r>
            <w:r w:rsidRPr="009716ED">
              <w:t xml:space="preserve">, </w:t>
            </w:r>
            <w:r w:rsidRPr="009716ED">
              <w:rPr>
                <w:b/>
              </w:rPr>
              <w:t>регулирующи</w:t>
            </w:r>
            <w:r w:rsidR="00B872EA" w:rsidRPr="009716ED">
              <w:rPr>
                <w:b/>
              </w:rPr>
              <w:t>ми</w:t>
            </w:r>
            <w:r w:rsidRPr="009716ED">
              <w:t xml:space="preserve"> инвестиционную деятельность инвестиционного фонда (в том</w:t>
            </w:r>
            <w:r w:rsidR="00B872EA" w:rsidRPr="009716ED">
              <w:t xml:space="preserve"> числе инвестиционной </w:t>
            </w:r>
            <w:r w:rsidR="00B872EA" w:rsidRPr="009716ED">
              <w:rPr>
                <w:b/>
              </w:rPr>
              <w:t>декларацией</w:t>
            </w:r>
            <w:r w:rsidRPr="009716ED">
              <w:t xml:space="preserve">, </w:t>
            </w:r>
            <w:r w:rsidRPr="009716ED">
              <w:rPr>
                <w:b/>
              </w:rPr>
              <w:t>проспект</w:t>
            </w:r>
            <w:r w:rsidR="00B872EA" w:rsidRPr="009716ED">
              <w:rPr>
                <w:b/>
              </w:rPr>
              <w:t>ом</w:t>
            </w:r>
            <w:r w:rsidRPr="009716ED">
              <w:t xml:space="preserve"> эмиссии, </w:t>
            </w:r>
            <w:r w:rsidRPr="009716ED">
              <w:rPr>
                <w:b/>
              </w:rPr>
              <w:t>правил</w:t>
            </w:r>
            <w:r w:rsidR="00E4782C" w:rsidRPr="009716ED">
              <w:rPr>
                <w:b/>
              </w:rPr>
              <w:t>ами</w:t>
            </w:r>
            <w:r w:rsidRPr="009716ED">
              <w:t xml:space="preserve"> доверительного управления), доля ценных бумаг одного юридического лица не должна превышать 10 (Десять) процентов стоимост</w:t>
            </w:r>
            <w:r w:rsidR="00E4782C" w:rsidRPr="009716ED">
              <w:t xml:space="preserve">и активов инвестиционного фонда </w:t>
            </w:r>
            <w:r w:rsidR="00E4782C" w:rsidRPr="009716ED">
              <w:rPr>
                <w:b/>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E4782C" w:rsidRPr="009716ED">
              <w:rPr>
                <w:lang w:eastAsia="en-US"/>
              </w:rPr>
              <w:t>.</w:t>
            </w:r>
          </w:p>
          <w:p w:rsidR="00E4782C" w:rsidRPr="009716ED" w:rsidRDefault="0019586D" w:rsidP="0019586D">
            <w:pPr>
              <w:autoSpaceDE/>
              <w:autoSpaceDN/>
              <w:ind w:firstLine="567"/>
              <w:jc w:val="both"/>
            </w:pPr>
            <w:r w:rsidRPr="009716ED">
              <w:t xml:space="preserve">Для целей расчета ограничения, указанного в абзаце первом настоящего пункта, </w:t>
            </w:r>
            <w:r w:rsidR="00E4782C" w:rsidRPr="009716ED">
              <w:rPr>
                <w:b/>
              </w:rPr>
              <w:t>при определении доли оценочной стоимости активов в стоимости активов фонда</w:t>
            </w:r>
            <w:r w:rsidR="00E4782C" w:rsidRPr="009716ED">
              <w:t xml:space="preserve"> </w:t>
            </w:r>
            <w:r w:rsidRPr="009716ED">
              <w:t>в сумме денежных средств в рублях и в иностранной валюте на счетах в одном юридическом лице</w:t>
            </w:r>
            <w:r w:rsidR="00E4782C" w:rsidRPr="009716ED">
              <w:t xml:space="preserve"> </w:t>
            </w:r>
            <w:r w:rsidR="00E4782C" w:rsidRPr="009716ED">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716ED">
              <w:t>, составляющ</w:t>
            </w:r>
            <w:r w:rsidR="00342C54">
              <w:t>их</w:t>
            </w:r>
            <w:r w:rsidRPr="009716ED">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19586D" w:rsidRPr="009716ED" w:rsidRDefault="0019586D" w:rsidP="0019586D">
            <w:pPr>
              <w:autoSpaceDE/>
              <w:autoSpaceDN/>
              <w:ind w:firstLine="567"/>
              <w:jc w:val="both"/>
            </w:pPr>
            <w:r w:rsidRPr="009716ED">
              <w:t>При этом общая сумма денежных средств</w:t>
            </w:r>
            <w:r w:rsidR="00E4782C" w:rsidRPr="009716ED">
              <w:t xml:space="preserve"> </w:t>
            </w:r>
            <w:r w:rsidR="00E4782C" w:rsidRPr="009716ED">
              <w:rPr>
                <w:b/>
              </w:rPr>
              <w:t xml:space="preserve">и стоимость прав требований, которые не учитываются при расчете ограничения, указанного в </w:t>
            </w:r>
            <w:hyperlink r:id="rId11" w:history="1">
              <w:r w:rsidR="00E4782C" w:rsidRPr="009716ED">
                <w:rPr>
                  <w:b/>
                </w:rPr>
                <w:t>абзаце первом</w:t>
              </w:r>
            </w:hyperlink>
            <w:r w:rsidR="00E4782C" w:rsidRPr="009716ED">
              <w:rPr>
                <w:b/>
              </w:rPr>
              <w:t xml:space="preserve"> настоящего пункта</w:t>
            </w:r>
            <w:r w:rsidRPr="009716ED">
              <w:t>, в отношении всех денежных средств в рублях и в иностранной валюте на всех счетах</w:t>
            </w:r>
            <w:r w:rsidR="00E4782C" w:rsidRPr="009716ED">
              <w:t xml:space="preserve"> </w:t>
            </w:r>
            <w:r w:rsidR="00E4782C" w:rsidRPr="009716ED">
              <w:rPr>
                <w:b/>
              </w:rPr>
              <w:t>и в отношении всех прав требований к юридическим лицам, возникших на основании указанных договоров о брокерском обслуживании</w:t>
            </w:r>
            <w:r w:rsidRPr="009716ED">
              <w:t xml:space="preserve">, </w:t>
            </w:r>
            <w:r w:rsidRPr="009716ED">
              <w:lastRenderedPageBreak/>
              <w:t xml:space="preserve">составляющих фонд, </w:t>
            </w:r>
            <w:r w:rsidR="00E4782C" w:rsidRPr="009716ED">
              <w:rPr>
                <w:b/>
              </w:rPr>
              <w:t>в совокупности</w:t>
            </w:r>
            <w:r w:rsidR="00E4782C" w:rsidRPr="009716ED">
              <w:t xml:space="preserve"> </w:t>
            </w:r>
            <w:r w:rsidRPr="009716ED">
              <w:t xml:space="preserve">не </w:t>
            </w:r>
            <w:r w:rsidR="00E4782C" w:rsidRPr="009716ED">
              <w:rPr>
                <w:b/>
              </w:rPr>
              <w:t>должны</w:t>
            </w:r>
            <w:r w:rsidRPr="009716ED">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E4782C" w:rsidRPr="009716ED" w:rsidRDefault="00E4782C" w:rsidP="00E4782C">
            <w:pPr>
              <w:ind w:firstLine="567"/>
              <w:jc w:val="both"/>
              <w:rPr>
                <w:b/>
              </w:rPr>
            </w:pPr>
            <w:r w:rsidRPr="009716ED">
              <w:rPr>
                <w:b/>
              </w:rPr>
              <w:t xml:space="preserve">Для целей расчета ограничения, указанного в </w:t>
            </w:r>
            <w:hyperlink r:id="rId12" w:history="1">
              <w:r w:rsidRPr="009716ED">
                <w:rPr>
                  <w:b/>
                </w:rPr>
                <w:t>абзаце первом</w:t>
              </w:r>
            </w:hyperlink>
            <w:r w:rsidRPr="009716ED">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19586D" w:rsidRPr="009716ED" w:rsidRDefault="0019586D" w:rsidP="0019586D">
            <w:pPr>
              <w:autoSpaceDE/>
              <w:autoSpaceDN/>
              <w:ind w:firstLine="567"/>
              <w:jc w:val="both"/>
              <w:rPr>
                <w:lang w:eastAsia="en-US"/>
              </w:rPr>
            </w:pPr>
            <w:r w:rsidRPr="009716ED">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E4782C" w:rsidRPr="009716ED">
              <w:rPr>
                <w:b/>
                <w:lang w:eastAsia="en-US"/>
              </w:rPr>
              <w:t>4</w:t>
            </w:r>
            <w:r w:rsidRPr="009716ED">
              <w:rPr>
                <w:b/>
                <w:lang w:eastAsia="en-US"/>
              </w:rPr>
              <w:t xml:space="preserve"> (</w:t>
            </w:r>
            <w:r w:rsidR="00E4782C" w:rsidRPr="009716ED">
              <w:rPr>
                <w:b/>
                <w:lang w:eastAsia="en-US"/>
              </w:rPr>
              <w:t>Четырех</w:t>
            </w:r>
            <w:r w:rsidRPr="009716ED">
              <w:rPr>
                <w:b/>
                <w:lang w:eastAsia="en-US"/>
              </w:rPr>
              <w:t>)</w:t>
            </w:r>
            <w:r w:rsidRPr="009716ED">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782C" w:rsidRPr="009716ED">
              <w:rPr>
                <w:b/>
                <w:lang w:eastAsia="en-US"/>
              </w:rPr>
              <w:t>4</w:t>
            </w:r>
            <w:r w:rsidRPr="009716ED">
              <w:rPr>
                <w:b/>
                <w:lang w:eastAsia="en-US"/>
              </w:rPr>
              <w:t xml:space="preserve"> (</w:t>
            </w:r>
            <w:r w:rsidR="00E4782C" w:rsidRPr="009716ED">
              <w:rPr>
                <w:b/>
                <w:lang w:eastAsia="en-US"/>
              </w:rPr>
              <w:t>Четырех</w:t>
            </w:r>
            <w:r w:rsidRPr="009716ED">
              <w:rPr>
                <w:b/>
                <w:lang w:eastAsia="en-US"/>
              </w:rPr>
              <w:t>)</w:t>
            </w:r>
            <w:r w:rsidRPr="009716ED">
              <w:rPr>
                <w:lang w:eastAsia="en-US"/>
              </w:rPr>
              <w:t xml:space="preserve"> рабочих дней с даты заключения сделки, совокупная стоимость активов, указанных в абзаце </w:t>
            </w:r>
            <w:r w:rsidR="00E4782C" w:rsidRPr="009716ED">
              <w:rPr>
                <w:b/>
                <w:lang w:eastAsia="en-US"/>
              </w:rPr>
              <w:t>восьмом</w:t>
            </w:r>
            <w:r w:rsidRPr="009716ED">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19586D" w:rsidRPr="009716ED" w:rsidRDefault="0019586D" w:rsidP="0019586D">
            <w:pPr>
              <w:autoSpaceDE/>
              <w:autoSpaceDN/>
              <w:ind w:firstLine="567"/>
              <w:jc w:val="both"/>
              <w:rPr>
                <w:lang w:eastAsia="en-US"/>
              </w:rPr>
            </w:pPr>
            <w:r w:rsidRPr="009716ED">
              <w:rPr>
                <w:lang w:eastAsia="en-US"/>
              </w:rPr>
              <w:t xml:space="preserve">Для целей настоящего пункта производные финансовые инструменты учитываются в </w:t>
            </w:r>
            <w:r w:rsidR="00E4782C" w:rsidRPr="009716ED">
              <w:rPr>
                <w:lang w:eastAsia="en-US"/>
              </w:rPr>
              <w:t xml:space="preserve">объеме </w:t>
            </w:r>
            <w:r w:rsidR="00E4782C" w:rsidRPr="009716ED">
              <w:rPr>
                <w:b/>
                <w:lang w:eastAsia="en-US"/>
              </w:rPr>
              <w:t>приобретаемых</w:t>
            </w:r>
            <w:r w:rsidR="00E4782C" w:rsidRPr="009716ED">
              <w:rPr>
                <w:b/>
              </w:rPr>
              <w:t xml:space="preserve">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782C" w:rsidRPr="009716ED">
              <w:t xml:space="preserve"> </w:t>
            </w:r>
            <w:r w:rsidRPr="009716ED">
              <w:rPr>
                <w:lang w:eastAsia="en-US"/>
              </w:rPr>
              <w:t>открытой позиции, скорректированной по результатам клиринга.</w:t>
            </w:r>
          </w:p>
          <w:p w:rsidR="005407B2" w:rsidRDefault="0019586D" w:rsidP="00A8522E">
            <w:pPr>
              <w:autoSpaceDE/>
              <w:autoSpaceDN/>
              <w:ind w:firstLine="567"/>
              <w:jc w:val="both"/>
              <w:rPr>
                <w:lang w:eastAsia="en-US"/>
              </w:rPr>
            </w:pPr>
            <w:r w:rsidRPr="009716ED">
              <w:rPr>
                <w:lang w:eastAsia="en-US"/>
              </w:rPr>
              <w:t xml:space="preserve">Для целей абзаца </w:t>
            </w:r>
            <w:r w:rsidR="004A2C24" w:rsidRPr="009716ED">
              <w:rPr>
                <w:b/>
                <w:lang w:eastAsia="en-US"/>
              </w:rPr>
              <w:t>восьмого</w:t>
            </w:r>
            <w:r w:rsidRPr="009716ED">
              <w:rPr>
                <w:lang w:eastAsia="en-US"/>
              </w:rPr>
              <w:t xml:space="preserve"> и </w:t>
            </w:r>
            <w:r w:rsidR="004A2C24" w:rsidRPr="009716ED">
              <w:rPr>
                <w:b/>
                <w:lang w:eastAsia="en-US"/>
              </w:rPr>
              <w:t>девятого</w:t>
            </w:r>
            <w:r w:rsidRPr="009716ED">
              <w:rPr>
                <w:lang w:eastAsia="en-US"/>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812FA2" w:rsidRPr="009716ED" w:rsidTr="00FD509D">
        <w:trPr>
          <w:trHeight w:val="652"/>
        </w:trPr>
        <w:tc>
          <w:tcPr>
            <w:tcW w:w="568" w:type="dxa"/>
          </w:tcPr>
          <w:p w:rsidR="00812FA2"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7</w:t>
            </w:r>
          </w:p>
        </w:tc>
        <w:tc>
          <w:tcPr>
            <w:tcW w:w="1076" w:type="dxa"/>
          </w:tcPr>
          <w:p w:rsidR="00812FA2" w:rsidRPr="009716ED" w:rsidRDefault="009C7C27"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28.5.9.</w:t>
            </w:r>
          </w:p>
        </w:tc>
        <w:tc>
          <w:tcPr>
            <w:tcW w:w="4168" w:type="dxa"/>
          </w:tcPr>
          <w:p w:rsidR="005407B2" w:rsidRDefault="009C7C27" w:rsidP="00A8522E">
            <w:pPr>
              <w:autoSpaceDE/>
              <w:autoSpaceDN/>
              <w:spacing w:before="60" w:after="60"/>
              <w:ind w:firstLine="360"/>
              <w:jc w:val="both"/>
            </w:pPr>
            <w:r w:rsidRPr="009716ED">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9716ED">
              <w:rPr>
                <w:b/>
                <w:lang w:eastAsia="en-US"/>
              </w:rPr>
              <w:t>аудиторской организацией,</w:t>
            </w:r>
            <w:r w:rsidRPr="009716ED">
              <w:rPr>
                <w:lang w:eastAsia="en-US"/>
              </w:rPr>
              <w:t xml:space="preserve"> регистратором;</w:t>
            </w:r>
          </w:p>
        </w:tc>
        <w:tc>
          <w:tcPr>
            <w:tcW w:w="4253" w:type="dxa"/>
          </w:tcPr>
          <w:p w:rsidR="009C7C27" w:rsidRPr="009716ED" w:rsidRDefault="009C7C27" w:rsidP="009C7C27">
            <w:pPr>
              <w:autoSpaceDE/>
              <w:autoSpaceDN/>
              <w:spacing w:before="60" w:after="60"/>
              <w:ind w:firstLine="360"/>
              <w:jc w:val="both"/>
              <w:rPr>
                <w:lang w:eastAsia="en-US"/>
              </w:rPr>
            </w:pPr>
            <w:r w:rsidRPr="009716ED">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812FA2" w:rsidRPr="009716ED" w:rsidRDefault="00812FA2" w:rsidP="0084598B">
            <w:pPr>
              <w:autoSpaceDE/>
              <w:autoSpaceDN/>
              <w:spacing w:before="60" w:after="60"/>
              <w:jc w:val="both"/>
              <w:rPr>
                <w:b/>
                <w:lang w:eastAsia="en-US"/>
              </w:rPr>
            </w:pPr>
          </w:p>
        </w:tc>
      </w:tr>
      <w:tr w:rsidR="004B3893" w:rsidRPr="009716ED" w:rsidTr="00FD509D">
        <w:trPr>
          <w:trHeight w:val="652"/>
        </w:trPr>
        <w:tc>
          <w:tcPr>
            <w:tcW w:w="568" w:type="dxa"/>
          </w:tcPr>
          <w:p w:rsidR="004B3893" w:rsidRPr="009716ED" w:rsidRDefault="003D4AEE" w:rsidP="00576992">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8</w:t>
            </w:r>
          </w:p>
        </w:tc>
        <w:tc>
          <w:tcPr>
            <w:tcW w:w="1076" w:type="dxa"/>
          </w:tcPr>
          <w:p w:rsidR="004B3893" w:rsidRPr="009716ED" w:rsidRDefault="009C7C27"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28.5.11.</w:t>
            </w:r>
          </w:p>
        </w:tc>
        <w:tc>
          <w:tcPr>
            <w:tcW w:w="4168" w:type="dxa"/>
          </w:tcPr>
          <w:p w:rsidR="005407B2" w:rsidRDefault="009C7C27" w:rsidP="00A8522E">
            <w:pPr>
              <w:autoSpaceDE/>
              <w:autoSpaceDN/>
              <w:spacing w:before="60" w:after="60"/>
              <w:ind w:firstLine="360"/>
              <w:jc w:val="both"/>
              <w:rPr>
                <w:lang w:eastAsia="en-US"/>
              </w:rPr>
            </w:pPr>
            <w:r w:rsidRPr="009716ED">
              <w:rPr>
                <w:lang w:eastAsia="en-US"/>
              </w:rPr>
              <w:t xml:space="preserve">сделки по приобретению в состав фонда имущества у специализированного депозитария, </w:t>
            </w:r>
            <w:r w:rsidRPr="009716ED">
              <w:rPr>
                <w:b/>
                <w:lang w:eastAsia="en-US"/>
              </w:rPr>
              <w:t>аудиторской организации</w:t>
            </w:r>
            <w:r w:rsidRPr="001315CF">
              <w:rPr>
                <w:b/>
                <w:lang w:eastAsia="en-US"/>
              </w:rPr>
              <w:t>,</w:t>
            </w:r>
            <w:r w:rsidRPr="009716ED">
              <w:rPr>
                <w:lang w:eastAsia="en-US"/>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9C7C27" w:rsidRPr="009716ED" w:rsidRDefault="009C7C27" w:rsidP="009C7C27">
            <w:pPr>
              <w:autoSpaceDE/>
              <w:autoSpaceDN/>
              <w:spacing w:before="60" w:after="60"/>
              <w:ind w:firstLine="360"/>
              <w:jc w:val="both"/>
              <w:rPr>
                <w:lang w:eastAsia="en-US"/>
              </w:rPr>
            </w:pPr>
            <w:r w:rsidRPr="009716ED">
              <w:rPr>
                <w:lang w:eastAsia="en-US"/>
              </w:rPr>
              <w:t xml:space="preserve">сделки по приобретению в состав фонда имущества у специализированного депозитария, с </w:t>
            </w:r>
            <w:r w:rsidRPr="009716ED">
              <w:rPr>
                <w:b/>
                <w:lang w:eastAsia="en-US"/>
              </w:rPr>
              <w:t>которым</w:t>
            </w:r>
            <w:r w:rsidRPr="009716ED">
              <w:rPr>
                <w:lang w:eastAsia="en-US"/>
              </w:rPr>
              <w:t xml:space="preserve"> управляющей компанией </w:t>
            </w:r>
            <w:r w:rsidR="005407B2" w:rsidRPr="00A8522E">
              <w:rPr>
                <w:b/>
                <w:lang w:eastAsia="en-US"/>
              </w:rPr>
              <w:t>заключен</w:t>
            </w:r>
            <w:r w:rsidRPr="009716ED">
              <w:rPr>
                <w:lang w:eastAsia="en-US"/>
              </w:rPr>
              <w:t xml:space="preserve"> </w:t>
            </w:r>
            <w:r w:rsidR="005407B2" w:rsidRPr="00A8522E">
              <w:rPr>
                <w:b/>
                <w:lang w:eastAsia="en-US"/>
              </w:rPr>
              <w:t>договор</w:t>
            </w:r>
            <w:r w:rsidRPr="009716ED">
              <w:rPr>
                <w:lang w:eastAsia="en-US"/>
              </w:rPr>
              <w:t>, либо по отч</w:t>
            </w:r>
            <w:r w:rsidR="00677ADD" w:rsidRPr="009716ED">
              <w:rPr>
                <w:lang w:eastAsia="en-US"/>
              </w:rPr>
              <w:t xml:space="preserve">уждению имущества </w:t>
            </w:r>
            <w:r w:rsidR="005407B2" w:rsidRPr="00A8522E">
              <w:rPr>
                <w:b/>
                <w:lang w:eastAsia="en-US"/>
              </w:rPr>
              <w:t>указанн</w:t>
            </w:r>
            <w:r w:rsidR="005C73F7">
              <w:rPr>
                <w:b/>
                <w:lang w:eastAsia="en-US"/>
              </w:rPr>
              <w:t>о</w:t>
            </w:r>
            <w:r w:rsidR="005407B2" w:rsidRPr="00A8522E">
              <w:rPr>
                <w:b/>
                <w:lang w:eastAsia="en-US"/>
              </w:rPr>
              <w:t>м</w:t>
            </w:r>
            <w:r w:rsidR="005C73F7">
              <w:rPr>
                <w:b/>
                <w:lang w:eastAsia="en-US"/>
              </w:rPr>
              <w:t>у</w:t>
            </w:r>
            <w:r w:rsidR="005C73F7" w:rsidRPr="009716ED">
              <w:rPr>
                <w:lang w:eastAsia="en-US"/>
              </w:rPr>
              <w:t xml:space="preserve"> </w:t>
            </w:r>
            <w:r w:rsidR="00677ADD" w:rsidRPr="009716ED">
              <w:rPr>
                <w:b/>
                <w:lang w:eastAsia="en-US"/>
              </w:rPr>
              <w:t>лиц</w:t>
            </w:r>
            <w:r w:rsidR="005C73F7">
              <w:rPr>
                <w:b/>
                <w:lang w:eastAsia="en-US"/>
              </w:rPr>
              <w:t>у</w:t>
            </w:r>
            <w:r w:rsidR="005407B2" w:rsidRPr="00A8522E">
              <w:rPr>
                <w:lang w:eastAsia="en-US"/>
              </w:rPr>
              <w:t>,</w:t>
            </w:r>
            <w:r w:rsidRPr="009716ED">
              <w:rPr>
                <w:lang w:eastAsia="en-US"/>
              </w:rPr>
              <w:t xml:space="preserve">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4B3893" w:rsidRPr="009716ED" w:rsidRDefault="004B3893" w:rsidP="0084598B">
            <w:pPr>
              <w:autoSpaceDE/>
              <w:autoSpaceDN/>
              <w:spacing w:before="60" w:after="60"/>
              <w:jc w:val="both"/>
              <w:rPr>
                <w:lang w:eastAsia="en-US"/>
              </w:rPr>
            </w:pPr>
          </w:p>
        </w:tc>
      </w:tr>
      <w:tr w:rsidR="00342C54" w:rsidRPr="009716ED" w:rsidTr="00FD509D">
        <w:trPr>
          <w:trHeight w:val="652"/>
        </w:trPr>
        <w:tc>
          <w:tcPr>
            <w:tcW w:w="568" w:type="dxa"/>
          </w:tcPr>
          <w:p w:rsidR="00342C54" w:rsidRPr="009716ED" w:rsidRDefault="00342C54"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342C54" w:rsidRPr="009716ED" w:rsidRDefault="00342C54"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37</w:t>
            </w:r>
          </w:p>
        </w:tc>
        <w:tc>
          <w:tcPr>
            <w:tcW w:w="4168" w:type="dxa"/>
          </w:tcPr>
          <w:p w:rsidR="00342C54" w:rsidRPr="00A8522E" w:rsidRDefault="00342C54" w:rsidP="00A8522E">
            <w:pPr>
              <w:tabs>
                <w:tab w:val="num" w:pos="1080"/>
              </w:tabs>
              <w:autoSpaceDE/>
              <w:autoSpaceDN/>
              <w:jc w:val="both"/>
              <w:rPr>
                <w:lang w:eastAsia="en-US"/>
              </w:rPr>
            </w:pPr>
            <w:r w:rsidRPr="00A8522E">
              <w:rPr>
                <w:lang w:eastAsia="en-US"/>
              </w:rPr>
              <w:t>Инвестиционные паи свободно обращаются по завершении (окончании) формирования фонда.</w:t>
            </w:r>
          </w:p>
          <w:p w:rsidR="00342C54" w:rsidRPr="009716ED" w:rsidRDefault="00342C54">
            <w:pPr>
              <w:tabs>
                <w:tab w:val="num" w:pos="1080"/>
              </w:tabs>
              <w:autoSpaceDE/>
              <w:autoSpaceDN/>
              <w:jc w:val="both"/>
              <w:rPr>
                <w:lang w:eastAsia="en-US"/>
              </w:rPr>
            </w:pPr>
            <w:r w:rsidRPr="00A8522E">
              <w:rPr>
                <w:lang w:eastAsia="en-US"/>
              </w:rPr>
              <w:t>Специализированный депозитарий, регистратор</w:t>
            </w:r>
            <w:bookmarkStart w:id="0" w:name="_GoBack"/>
            <w:r w:rsidRPr="001315CF">
              <w:rPr>
                <w:b/>
                <w:lang w:eastAsia="en-US"/>
              </w:rPr>
              <w:t>,</w:t>
            </w:r>
            <w:bookmarkEnd w:id="0"/>
            <w:r>
              <w:rPr>
                <w:lang w:eastAsia="en-US"/>
              </w:rPr>
              <w:t xml:space="preserve"> </w:t>
            </w:r>
            <w:r w:rsidRPr="00A8522E">
              <w:rPr>
                <w:b/>
                <w:lang w:eastAsia="en-US"/>
              </w:rPr>
              <w:t>аудиторская организация</w:t>
            </w:r>
            <w:r w:rsidRPr="00A8522E">
              <w:rPr>
                <w:lang w:eastAsia="en-US"/>
              </w:rPr>
              <w:t xml:space="preserve"> не могут являться владельцами инвестиционных паев. </w:t>
            </w:r>
          </w:p>
        </w:tc>
        <w:tc>
          <w:tcPr>
            <w:tcW w:w="4253" w:type="dxa"/>
          </w:tcPr>
          <w:p w:rsidR="00342C54" w:rsidRPr="00342C54" w:rsidRDefault="00342C54" w:rsidP="00147E5E">
            <w:pPr>
              <w:tabs>
                <w:tab w:val="num" w:pos="1080"/>
              </w:tabs>
              <w:autoSpaceDE/>
              <w:autoSpaceDN/>
              <w:jc w:val="both"/>
              <w:rPr>
                <w:lang w:eastAsia="en-US"/>
              </w:rPr>
            </w:pPr>
            <w:r w:rsidRPr="00342C54">
              <w:rPr>
                <w:lang w:eastAsia="en-US"/>
              </w:rPr>
              <w:t>Инвестиционные паи свободно обращаются по завершении (окончании) формирования фонда.</w:t>
            </w:r>
          </w:p>
          <w:p w:rsidR="00342C54" w:rsidRPr="00342C54" w:rsidRDefault="00342C54" w:rsidP="00147E5E">
            <w:pPr>
              <w:tabs>
                <w:tab w:val="num" w:pos="1080"/>
              </w:tabs>
              <w:autoSpaceDE/>
              <w:autoSpaceDN/>
              <w:jc w:val="both"/>
              <w:rPr>
                <w:lang w:eastAsia="en-US"/>
              </w:rPr>
            </w:pPr>
            <w:r w:rsidRPr="00342C54">
              <w:rPr>
                <w:lang w:eastAsia="en-US"/>
              </w:rPr>
              <w:t xml:space="preserve">Специализированный депозитарий, регистратор не могут являться владельцами инвестиционных паев. </w:t>
            </w:r>
          </w:p>
          <w:p w:rsidR="00342C54" w:rsidRPr="009716ED" w:rsidRDefault="00342C54" w:rsidP="00DB1986">
            <w:pPr>
              <w:tabs>
                <w:tab w:val="num" w:pos="1080"/>
              </w:tabs>
              <w:autoSpaceDE/>
              <w:autoSpaceDN/>
              <w:jc w:val="both"/>
              <w:rPr>
                <w:lang w:eastAsia="en-US"/>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0</w:t>
            </w:r>
          </w:p>
        </w:tc>
        <w:tc>
          <w:tcPr>
            <w:tcW w:w="1076" w:type="dxa"/>
          </w:tcPr>
          <w:p w:rsidR="00342C54" w:rsidRPr="009716ED" w:rsidRDefault="00342C54" w:rsidP="005D4E8E">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104.</w:t>
            </w:r>
          </w:p>
        </w:tc>
        <w:tc>
          <w:tcPr>
            <w:tcW w:w="4168" w:type="dxa"/>
          </w:tcPr>
          <w:p w:rsidR="00342C54" w:rsidRDefault="00342C54" w:rsidP="00A8522E">
            <w:pPr>
              <w:tabs>
                <w:tab w:val="left" w:pos="426"/>
              </w:tabs>
              <w:autoSpaceDE/>
              <w:autoSpaceDN/>
              <w:spacing w:before="60" w:after="60"/>
              <w:jc w:val="both"/>
            </w:pPr>
            <w:r w:rsidRPr="009716ED">
              <w:rPr>
                <w:lang w:eastAsia="en-US"/>
              </w:rPr>
              <w:t xml:space="preserve">      За счет имущества, составляющего фонд, выплачивается вознаграждение управляющей компании в размере 3,2 (Трех целых двух десятых) процента (налог</w:t>
            </w:r>
            <w:r w:rsidRPr="009716ED">
              <w:rPr>
                <w:rFonts w:ascii="SchoolBook" w:hAnsi="SchoolBook" w:cs="SchoolBook"/>
                <w:kern w:val="20"/>
                <w:lang w:eastAsia="en-US"/>
              </w:rPr>
              <w:t>ом</w:t>
            </w:r>
            <w:r w:rsidRPr="009716ED">
              <w:rPr>
                <w:lang w:eastAsia="en-US"/>
              </w:rPr>
              <w:t xml:space="preserve"> на добавленную стоимость</w:t>
            </w:r>
            <w:r w:rsidRPr="009716ED">
              <w:rPr>
                <w:rFonts w:ascii="SchoolBook" w:hAnsi="SchoolBook" w:cs="SchoolBook"/>
                <w:kern w:val="20"/>
                <w:lang w:eastAsia="en-US"/>
              </w:rPr>
              <w:t xml:space="preserve"> не облагается</w:t>
            </w:r>
            <w:r w:rsidRPr="009716ED">
              <w:rPr>
                <w:lang w:eastAsia="en-US"/>
              </w:rPr>
              <w:t>)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Pr="00A8522E">
              <w:rPr>
                <w:b/>
                <w:lang w:eastAsia="en-US"/>
              </w:rPr>
              <w:t>,</w:t>
            </w:r>
            <w:r w:rsidRPr="009716ED">
              <w:rPr>
                <w:lang w:eastAsia="en-US"/>
              </w:rPr>
              <w:t xml:space="preserve"> </w:t>
            </w:r>
            <w:r w:rsidRPr="009716ED">
              <w:rPr>
                <w:b/>
                <w:lang w:eastAsia="en-US"/>
              </w:rPr>
              <w:t>аудиторской организации</w:t>
            </w:r>
            <w:r w:rsidRPr="009716ED">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342C54" w:rsidRPr="009716ED" w:rsidRDefault="00342C54" w:rsidP="003D4AEE">
            <w:pPr>
              <w:tabs>
                <w:tab w:val="left" w:pos="426"/>
              </w:tabs>
              <w:autoSpaceDE/>
              <w:autoSpaceDN/>
              <w:spacing w:before="60" w:after="60"/>
              <w:jc w:val="both"/>
              <w:rPr>
                <w:lang w:eastAsia="en-US"/>
              </w:rPr>
            </w:pPr>
            <w:r w:rsidRPr="009716ED">
              <w:rPr>
                <w:lang w:eastAsia="en-US"/>
              </w:rPr>
              <w:t xml:space="preserve">      За счет имущества, составляющего фонд, выплачивается вознаграждение управляющей компании в размере 3,2 (Трех целых двух десятых) процента (налог</w:t>
            </w:r>
            <w:r w:rsidRPr="009716ED">
              <w:rPr>
                <w:rFonts w:ascii="SchoolBook" w:hAnsi="SchoolBook" w:cs="SchoolBook"/>
                <w:kern w:val="20"/>
                <w:lang w:eastAsia="en-US"/>
              </w:rPr>
              <w:t>ом</w:t>
            </w:r>
            <w:r w:rsidRPr="009716ED">
              <w:rPr>
                <w:lang w:eastAsia="en-US"/>
              </w:rPr>
              <w:t xml:space="preserve"> на добавленную стоимость</w:t>
            </w:r>
            <w:r w:rsidRPr="009716ED">
              <w:rPr>
                <w:rFonts w:ascii="SchoolBook" w:hAnsi="SchoolBook" w:cs="SchoolBook"/>
                <w:kern w:val="20"/>
                <w:lang w:eastAsia="en-US"/>
              </w:rPr>
              <w:t xml:space="preserve"> не облагается</w:t>
            </w:r>
            <w:r w:rsidRPr="009716ED">
              <w:rPr>
                <w:lang w:eastAsia="en-US"/>
              </w:rPr>
              <w:t>)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342C54" w:rsidRPr="009716ED" w:rsidRDefault="00342C54" w:rsidP="005E694C">
            <w:pPr>
              <w:spacing w:after="100"/>
              <w:jc w:val="both"/>
              <w:rPr>
                <w:b/>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1</w:t>
            </w:r>
          </w:p>
        </w:tc>
        <w:tc>
          <w:tcPr>
            <w:tcW w:w="1076" w:type="dxa"/>
          </w:tcPr>
          <w:p w:rsidR="00342C54" w:rsidRPr="009716ED" w:rsidRDefault="00342C54" w:rsidP="005D4E8E">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106.</w:t>
            </w:r>
          </w:p>
        </w:tc>
        <w:tc>
          <w:tcPr>
            <w:tcW w:w="4168" w:type="dxa"/>
          </w:tcPr>
          <w:p w:rsidR="00342C54" w:rsidRDefault="00342C54" w:rsidP="00A8522E">
            <w:pPr>
              <w:tabs>
                <w:tab w:val="left" w:pos="426"/>
              </w:tabs>
              <w:autoSpaceDE/>
              <w:autoSpaceDN/>
              <w:spacing w:before="60" w:after="60"/>
              <w:jc w:val="both"/>
            </w:pPr>
            <w:r w:rsidRPr="009716ED">
              <w:rPr>
                <w:lang w:eastAsia="en-US"/>
              </w:rPr>
              <w:t>Вознаграждение специализированному депозитарию, регистратору</w:t>
            </w:r>
            <w:r w:rsidRPr="00A8522E">
              <w:rPr>
                <w:b/>
                <w:lang w:eastAsia="en-US"/>
              </w:rPr>
              <w:t>,</w:t>
            </w:r>
            <w:r w:rsidRPr="009716ED">
              <w:rPr>
                <w:lang w:eastAsia="en-US"/>
              </w:rPr>
              <w:t xml:space="preserve"> </w:t>
            </w:r>
            <w:r w:rsidRPr="009716ED">
              <w:rPr>
                <w:b/>
                <w:lang w:eastAsia="en-US"/>
              </w:rPr>
              <w:t>аудиторской организации</w:t>
            </w:r>
            <w:r w:rsidRPr="009716ED">
              <w:rPr>
                <w:lang w:eastAsia="en-US"/>
              </w:rPr>
              <w:t xml:space="preserve"> выплачивается в срок, предусмотренный в договорах указанных лиц с управляющей компанией.</w:t>
            </w:r>
          </w:p>
        </w:tc>
        <w:tc>
          <w:tcPr>
            <w:tcW w:w="4253" w:type="dxa"/>
          </w:tcPr>
          <w:p w:rsidR="00342C54" w:rsidRPr="009716ED" w:rsidRDefault="00342C54" w:rsidP="001343DE">
            <w:pPr>
              <w:tabs>
                <w:tab w:val="left" w:pos="426"/>
              </w:tabs>
              <w:autoSpaceDE/>
              <w:autoSpaceDN/>
              <w:spacing w:before="60" w:after="60"/>
              <w:jc w:val="both"/>
              <w:rPr>
                <w:lang w:eastAsia="en-US"/>
              </w:rPr>
            </w:pPr>
            <w:r w:rsidRPr="009716ED">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342C54" w:rsidRPr="009716ED" w:rsidRDefault="00342C54" w:rsidP="005E694C">
            <w:pPr>
              <w:spacing w:after="100"/>
              <w:jc w:val="both"/>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2</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121.2.</w:t>
            </w:r>
          </w:p>
        </w:tc>
        <w:tc>
          <w:tcPr>
            <w:tcW w:w="4168" w:type="dxa"/>
          </w:tcPr>
          <w:p w:rsidR="00342C54" w:rsidRDefault="00342C54" w:rsidP="00A8522E">
            <w:pPr>
              <w:tabs>
                <w:tab w:val="left" w:pos="426"/>
              </w:tabs>
              <w:autoSpaceDE/>
              <w:autoSpaceDN/>
              <w:spacing w:before="60" w:after="60"/>
              <w:jc w:val="both"/>
              <w:rPr>
                <w:lang w:eastAsia="en-US"/>
              </w:rPr>
            </w:pPr>
            <w:r w:rsidRPr="009716ED">
              <w:rPr>
                <w:lang w:eastAsia="en-US"/>
              </w:rPr>
              <w:t xml:space="preserve">размера вознаграждения управляющей компании, специализированного депозитария, регистратора </w:t>
            </w:r>
            <w:r w:rsidRPr="00A8522E">
              <w:rPr>
                <w:b/>
                <w:lang w:eastAsia="en-US"/>
              </w:rPr>
              <w:t>и</w:t>
            </w:r>
            <w:r w:rsidRPr="009716ED">
              <w:rPr>
                <w:lang w:eastAsia="en-US"/>
              </w:rPr>
              <w:t xml:space="preserve"> </w:t>
            </w:r>
            <w:r w:rsidRPr="009716ED">
              <w:rPr>
                <w:b/>
                <w:lang w:eastAsia="en-US"/>
              </w:rPr>
              <w:t>аудиторской организации</w:t>
            </w:r>
            <w:r w:rsidRPr="009716ED">
              <w:rPr>
                <w:lang w:eastAsia="en-US"/>
              </w:rPr>
              <w:t>, начисленного им на день возникновения основания прекращения фонда;</w:t>
            </w:r>
          </w:p>
        </w:tc>
        <w:tc>
          <w:tcPr>
            <w:tcW w:w="4253" w:type="dxa"/>
          </w:tcPr>
          <w:p w:rsidR="00342C54" w:rsidRPr="009716ED" w:rsidRDefault="00342C54" w:rsidP="001343DE">
            <w:pPr>
              <w:tabs>
                <w:tab w:val="left" w:pos="426"/>
              </w:tabs>
              <w:autoSpaceDE/>
              <w:autoSpaceDN/>
              <w:spacing w:before="60" w:after="60"/>
              <w:jc w:val="both"/>
              <w:rPr>
                <w:lang w:eastAsia="en-US"/>
              </w:rPr>
            </w:pPr>
            <w:r w:rsidRPr="009716ED">
              <w:rPr>
                <w:lang w:eastAsia="en-US"/>
              </w:rPr>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342C54" w:rsidRPr="009716ED" w:rsidRDefault="00342C54" w:rsidP="0068110B">
            <w:pPr>
              <w:autoSpaceDE/>
              <w:autoSpaceDN/>
              <w:ind w:firstLine="567"/>
              <w:jc w:val="both"/>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t>1</w:t>
            </w:r>
            <w:r w:rsidR="00F022A5">
              <w:rPr>
                <w:rFonts w:ascii="Times New Roman" w:hAnsi="Times New Roman" w:cs="Times New Roman"/>
                <w:kern w:val="0"/>
                <w:lang w:val="en-US"/>
              </w:rPr>
              <w:t>3</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126.2.</w:t>
            </w:r>
          </w:p>
        </w:tc>
        <w:tc>
          <w:tcPr>
            <w:tcW w:w="4168" w:type="dxa"/>
          </w:tcPr>
          <w:p w:rsidR="00342C54" w:rsidRDefault="00342C54" w:rsidP="00A8522E">
            <w:pPr>
              <w:tabs>
                <w:tab w:val="left" w:pos="426"/>
              </w:tabs>
              <w:autoSpaceDE/>
              <w:autoSpaceDN/>
              <w:spacing w:before="60" w:after="60"/>
              <w:jc w:val="both"/>
            </w:pPr>
            <w:r w:rsidRPr="009716ED">
              <w:rPr>
                <w:lang w:eastAsia="en-US"/>
              </w:rPr>
              <w:t>с увеличением размера вознаграждения управляющей компании, специализированного депозитария, регистратора</w:t>
            </w:r>
            <w:r w:rsidRPr="00A8522E">
              <w:rPr>
                <w:b/>
                <w:lang w:eastAsia="en-US"/>
              </w:rPr>
              <w:t>,</w:t>
            </w:r>
            <w:r w:rsidRPr="009716ED">
              <w:rPr>
                <w:lang w:eastAsia="en-US"/>
              </w:rPr>
              <w:t xml:space="preserve"> </w:t>
            </w:r>
            <w:r w:rsidRPr="009716ED">
              <w:rPr>
                <w:b/>
                <w:lang w:eastAsia="en-US"/>
              </w:rPr>
              <w:t>аудиторской организации</w:t>
            </w:r>
            <w:r w:rsidRPr="009716ED">
              <w:rPr>
                <w:lang w:eastAsia="en-US"/>
              </w:rPr>
              <w:t>;</w:t>
            </w:r>
          </w:p>
        </w:tc>
        <w:tc>
          <w:tcPr>
            <w:tcW w:w="4253" w:type="dxa"/>
          </w:tcPr>
          <w:p w:rsidR="00342C54" w:rsidRPr="009716ED" w:rsidRDefault="00342C54" w:rsidP="009A6615">
            <w:pPr>
              <w:tabs>
                <w:tab w:val="left" w:pos="426"/>
              </w:tabs>
              <w:autoSpaceDE/>
              <w:autoSpaceDN/>
              <w:spacing w:before="60" w:after="60"/>
              <w:jc w:val="both"/>
              <w:rPr>
                <w:lang w:eastAsia="en-US"/>
              </w:rPr>
            </w:pPr>
            <w:r w:rsidRPr="009716ED">
              <w:rPr>
                <w:lang w:eastAsia="en-US"/>
              </w:rPr>
              <w:t>с увеличением размера вознаграждения управляющей компании, специализированного депозитария, регистратора;</w:t>
            </w:r>
          </w:p>
          <w:p w:rsidR="00342C54" w:rsidRPr="009716ED" w:rsidRDefault="00342C54" w:rsidP="00330C9F">
            <w:pPr>
              <w:autoSpaceDE/>
              <w:autoSpaceDN/>
              <w:spacing w:before="60" w:after="60"/>
              <w:ind w:left="34"/>
              <w:jc w:val="both"/>
              <w:rPr>
                <w:lang w:eastAsia="en-US"/>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F022A5">
              <w:rPr>
                <w:rFonts w:ascii="Times New Roman" w:hAnsi="Times New Roman" w:cs="Times New Roman"/>
                <w:kern w:val="0"/>
                <w:lang w:val="en-US"/>
              </w:rPr>
              <w:t>4</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127.1.</w:t>
            </w:r>
          </w:p>
        </w:tc>
        <w:tc>
          <w:tcPr>
            <w:tcW w:w="4168" w:type="dxa"/>
          </w:tcPr>
          <w:p w:rsidR="00342C54" w:rsidRPr="001502AF" w:rsidRDefault="00342C54" w:rsidP="009A6615">
            <w:pPr>
              <w:tabs>
                <w:tab w:val="left" w:pos="426"/>
              </w:tabs>
              <w:autoSpaceDE/>
              <w:autoSpaceDN/>
              <w:spacing w:before="60" w:after="60"/>
              <w:jc w:val="both"/>
              <w:rPr>
                <w:lang w:eastAsia="en-US"/>
              </w:rPr>
            </w:pPr>
            <w:r w:rsidRPr="001502AF">
              <w:rPr>
                <w:lang w:eastAsia="en-US"/>
              </w:rPr>
              <w:t xml:space="preserve">изменения наименований управляющей компании, специализированного депозитария, </w:t>
            </w:r>
            <w:r w:rsidRPr="001502AF">
              <w:rPr>
                <w:b/>
                <w:lang w:eastAsia="en-US"/>
              </w:rPr>
              <w:t>аудиторской организации</w:t>
            </w:r>
            <w:r w:rsidRPr="00A8522E">
              <w:rPr>
                <w:b/>
                <w:lang w:eastAsia="en-US"/>
              </w:rPr>
              <w:t xml:space="preserve">, </w:t>
            </w:r>
            <w:r w:rsidRPr="001502AF">
              <w:rPr>
                <w:lang w:eastAsia="en-US"/>
              </w:rPr>
              <w:t>регистратора, а также иных сведений об указанных лицах;</w:t>
            </w:r>
          </w:p>
        </w:tc>
        <w:tc>
          <w:tcPr>
            <w:tcW w:w="4253" w:type="dxa"/>
          </w:tcPr>
          <w:p w:rsidR="00342C54" w:rsidRPr="001502AF" w:rsidRDefault="00342C54" w:rsidP="001502AF">
            <w:pPr>
              <w:tabs>
                <w:tab w:val="left" w:pos="426"/>
              </w:tabs>
              <w:autoSpaceDE/>
              <w:autoSpaceDN/>
              <w:spacing w:before="60" w:after="60"/>
              <w:jc w:val="both"/>
              <w:rPr>
                <w:lang w:eastAsia="en-US"/>
              </w:rPr>
            </w:pPr>
            <w:r w:rsidRPr="001502AF">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p w:rsidR="00342C54" w:rsidRPr="001502AF" w:rsidRDefault="00342C54" w:rsidP="009A6615">
            <w:pPr>
              <w:tabs>
                <w:tab w:val="left" w:pos="426"/>
              </w:tabs>
              <w:autoSpaceDE/>
              <w:autoSpaceDN/>
              <w:spacing w:before="60" w:after="60"/>
              <w:jc w:val="both"/>
              <w:rPr>
                <w:lang w:eastAsia="en-US"/>
              </w:rPr>
            </w:pPr>
          </w:p>
        </w:tc>
      </w:tr>
      <w:tr w:rsidR="00342C54" w:rsidRPr="009716ED" w:rsidTr="00FD509D">
        <w:trPr>
          <w:trHeight w:val="652"/>
        </w:trPr>
        <w:tc>
          <w:tcPr>
            <w:tcW w:w="568" w:type="dxa"/>
          </w:tcPr>
          <w:p w:rsidR="00342C54" w:rsidRPr="009716ED" w:rsidRDefault="00342C54">
            <w:pPr>
              <w:pStyle w:val="prg3"/>
              <w:numPr>
                <w:ilvl w:val="0"/>
                <w:numId w:val="0"/>
              </w:numPr>
              <w:spacing w:before="0" w:after="120"/>
              <w:ind w:left="-87"/>
              <w:jc w:val="center"/>
              <w:rPr>
                <w:rFonts w:ascii="Times New Roman" w:hAnsi="Times New Roman" w:cs="Times New Roman"/>
                <w:kern w:val="0"/>
              </w:rPr>
            </w:pPr>
            <w:r w:rsidRPr="009716ED">
              <w:rPr>
                <w:rFonts w:ascii="Times New Roman" w:hAnsi="Times New Roman" w:cs="Times New Roman"/>
                <w:kern w:val="0"/>
              </w:rPr>
              <w:lastRenderedPageBreak/>
              <w:t>1</w:t>
            </w:r>
            <w:r w:rsidR="00F022A5">
              <w:rPr>
                <w:rFonts w:ascii="Times New Roman" w:hAnsi="Times New Roman" w:cs="Times New Roman"/>
                <w:kern w:val="0"/>
                <w:lang w:val="en-US"/>
              </w:rPr>
              <w:t>5</w:t>
            </w:r>
          </w:p>
        </w:tc>
        <w:tc>
          <w:tcPr>
            <w:tcW w:w="1076" w:type="dxa"/>
          </w:tcPr>
          <w:p w:rsidR="00342C54" w:rsidRPr="009716ED" w:rsidRDefault="00342C54" w:rsidP="0068110B">
            <w:pPr>
              <w:pStyle w:val="prg3"/>
              <w:numPr>
                <w:ilvl w:val="0"/>
                <w:numId w:val="0"/>
              </w:numPr>
              <w:spacing w:before="0" w:after="120"/>
              <w:jc w:val="center"/>
              <w:rPr>
                <w:rFonts w:ascii="Times New Roman" w:hAnsi="Times New Roman" w:cs="Times New Roman"/>
                <w:kern w:val="0"/>
                <w:lang w:eastAsia="en-US"/>
              </w:rPr>
            </w:pPr>
            <w:r w:rsidRPr="009716ED">
              <w:rPr>
                <w:rFonts w:ascii="Times New Roman" w:hAnsi="Times New Roman" w:cs="Times New Roman"/>
                <w:kern w:val="0"/>
                <w:lang w:eastAsia="en-US"/>
              </w:rPr>
              <w:t>127.2.</w:t>
            </w:r>
          </w:p>
        </w:tc>
        <w:tc>
          <w:tcPr>
            <w:tcW w:w="4168" w:type="dxa"/>
          </w:tcPr>
          <w:p w:rsidR="00342C54" w:rsidRPr="009716ED" w:rsidRDefault="00342C54" w:rsidP="00201A92">
            <w:pPr>
              <w:ind w:firstLine="709"/>
              <w:jc w:val="both"/>
              <w:rPr>
                <w:spacing w:val="-1"/>
                <w:lang w:eastAsia="en-US"/>
              </w:rPr>
            </w:pPr>
            <w:r w:rsidRPr="009716ED">
              <w:t xml:space="preserve">уменьшения размера вознаграждения управляющей компании, специализированного депозитария, регистратора, </w:t>
            </w:r>
            <w:r w:rsidRPr="009716ED">
              <w:rPr>
                <w:b/>
              </w:rPr>
              <w:t>аудиторской организации</w:t>
            </w:r>
            <w:r w:rsidRPr="009716ED">
              <w:t>, а также уменьшения размера и (или) сокращения перечня расходов, подлежащих оплате за счет имущества, составляющего фонд;</w:t>
            </w:r>
          </w:p>
        </w:tc>
        <w:tc>
          <w:tcPr>
            <w:tcW w:w="4253" w:type="dxa"/>
          </w:tcPr>
          <w:p w:rsidR="00342C54" w:rsidRPr="009716ED" w:rsidRDefault="00342C54" w:rsidP="002D6367">
            <w:pPr>
              <w:autoSpaceDE/>
              <w:autoSpaceDN/>
              <w:spacing w:before="60" w:after="120"/>
              <w:jc w:val="both"/>
              <w:rPr>
                <w:b/>
                <w:spacing w:val="-1"/>
                <w:lang w:eastAsia="en-US"/>
              </w:rPr>
            </w:pPr>
            <w:r w:rsidRPr="009716ED">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tc>
      </w:tr>
    </w:tbl>
    <w:p w:rsidR="00F91719" w:rsidRDefault="00F91719" w:rsidP="009F2579">
      <w:pPr>
        <w:pStyle w:val="fieldcomment"/>
        <w:jc w:val="right"/>
        <w:rPr>
          <w:lang w:val="ru-RU"/>
        </w:rPr>
      </w:pPr>
    </w:p>
    <w:p w:rsidR="00FB1D6A" w:rsidRDefault="00FB1D6A" w:rsidP="00E406B1">
      <w:pPr>
        <w:pStyle w:val="fieldcomment"/>
        <w:rPr>
          <w:rFonts w:ascii="Times New Roman" w:hAnsi="Times New Roman" w:cs="Times New Roman"/>
          <w:sz w:val="22"/>
          <w:szCs w:val="22"/>
          <w:lang w:val="ru-RU"/>
        </w:rPr>
      </w:pPr>
    </w:p>
    <w:p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022A5">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F022A5">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F022A5">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F022A5">
        <w:rPr>
          <w:rFonts w:ascii="Times New Roman" w:hAnsi="Times New Roman" w:cs="Times New Roman"/>
          <w:sz w:val="22"/>
          <w:szCs w:val="22"/>
          <w:lang w:val="ru-RU"/>
        </w:rPr>
        <w:t>Кириллов</w:t>
      </w:r>
    </w:p>
    <w:p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3"/>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DE" w:rsidRDefault="001343DE" w:rsidP="009C0A43">
      <w:pPr>
        <w:pStyle w:val="BodyNum"/>
      </w:pPr>
      <w:r>
        <w:separator/>
      </w:r>
    </w:p>
  </w:endnote>
  <w:endnote w:type="continuationSeparator" w:id="0">
    <w:p w:rsidR="001343DE" w:rsidRDefault="001343DE"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DE" w:rsidRDefault="005407B2">
    <w:pPr>
      <w:pStyle w:val="ae"/>
      <w:jc w:val="right"/>
    </w:pPr>
    <w:r>
      <w:fldChar w:fldCharType="begin"/>
    </w:r>
    <w:r w:rsidR="001343DE">
      <w:instrText xml:space="preserve"> PAGE   \* MERGEFORMAT </w:instrText>
    </w:r>
    <w:r>
      <w:fldChar w:fldCharType="separate"/>
    </w:r>
    <w:r w:rsidR="001315CF">
      <w:rPr>
        <w:noProof/>
      </w:rPr>
      <w:t>7</w:t>
    </w:r>
    <w:r>
      <w:rPr>
        <w:noProof/>
      </w:rPr>
      <w:fldChar w:fldCharType="end"/>
    </w:r>
  </w:p>
  <w:p w:rsidR="001343DE" w:rsidRDefault="001343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DE" w:rsidRDefault="001343DE" w:rsidP="009C0A43">
      <w:pPr>
        <w:pStyle w:val="BodyNum"/>
      </w:pPr>
      <w:r>
        <w:separator/>
      </w:r>
    </w:p>
  </w:footnote>
  <w:footnote w:type="continuationSeparator" w:id="0">
    <w:p w:rsidR="001343DE" w:rsidRDefault="001343DE"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14"/>
  </w:num>
  <w:num w:numId="18">
    <w:abstractNumId w:val="4"/>
  </w:num>
  <w:num w:numId="19">
    <w:abstractNumId w:val="15"/>
  </w:num>
  <w:num w:numId="20">
    <w:abstractNumId w:val="9"/>
  </w:num>
  <w:num w:numId="21">
    <w:abstractNumId w:val="11"/>
  </w:num>
  <w:num w:numId="22">
    <w:abstractNumId w:val="18"/>
  </w:num>
  <w:num w:numId="23">
    <w:abstractNumId w:val="1"/>
  </w:num>
  <w:num w:numId="24">
    <w:abstractNumId w:val="17"/>
  </w:num>
  <w:num w:numId="25">
    <w:abstractNumId w:val="5"/>
  </w:num>
  <w:num w:numId="26">
    <w:abstractNumId w:val="16"/>
  </w:num>
  <w:num w:numId="27">
    <w:abstractNumId w:val="10"/>
  </w:num>
  <w:num w:numId="28">
    <w:abstractNumId w:val="8"/>
  </w:num>
  <w:num w:numId="29">
    <w:abstractNumId w:val="12"/>
  </w:num>
  <w:num w:numId="30">
    <w:abstractNumId w:val="13"/>
  </w:num>
  <w:num w:numId="31">
    <w:abstractNumId w:val="2"/>
  </w:num>
  <w:num w:numId="32">
    <w:abstractNumId w:val="3"/>
  </w:num>
  <w:num w:numId="33">
    <w:abstractNumId w:val="7"/>
  </w:num>
  <w:num w:numId="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9CF"/>
    <w:rsid w:val="00061EFC"/>
    <w:rsid w:val="00065D33"/>
    <w:rsid w:val="000738BB"/>
    <w:rsid w:val="0007749A"/>
    <w:rsid w:val="000778AF"/>
    <w:rsid w:val="000810D1"/>
    <w:rsid w:val="000819F7"/>
    <w:rsid w:val="00090D7E"/>
    <w:rsid w:val="00093551"/>
    <w:rsid w:val="000A5F4A"/>
    <w:rsid w:val="000B12AE"/>
    <w:rsid w:val="000B433E"/>
    <w:rsid w:val="000B45F6"/>
    <w:rsid w:val="000B51A8"/>
    <w:rsid w:val="000C19F9"/>
    <w:rsid w:val="000C4080"/>
    <w:rsid w:val="000C47DB"/>
    <w:rsid w:val="000C4842"/>
    <w:rsid w:val="000C5119"/>
    <w:rsid w:val="000D14B8"/>
    <w:rsid w:val="000D1576"/>
    <w:rsid w:val="000D3A26"/>
    <w:rsid w:val="000E33AB"/>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15CF"/>
    <w:rsid w:val="001324E4"/>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74D16"/>
    <w:rsid w:val="00174DAD"/>
    <w:rsid w:val="001808A9"/>
    <w:rsid w:val="00181934"/>
    <w:rsid w:val="00181D4D"/>
    <w:rsid w:val="00190BC5"/>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3610"/>
    <w:rsid w:val="001D781A"/>
    <w:rsid w:val="001D7AA4"/>
    <w:rsid w:val="001E1070"/>
    <w:rsid w:val="001E2726"/>
    <w:rsid w:val="001E279C"/>
    <w:rsid w:val="001E4954"/>
    <w:rsid w:val="001E514E"/>
    <w:rsid w:val="001E6CD0"/>
    <w:rsid w:val="001F04BE"/>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A10"/>
    <w:rsid w:val="002254BE"/>
    <w:rsid w:val="00227175"/>
    <w:rsid w:val="00231947"/>
    <w:rsid w:val="00232022"/>
    <w:rsid w:val="00234BFC"/>
    <w:rsid w:val="00235BA5"/>
    <w:rsid w:val="0024003F"/>
    <w:rsid w:val="002439F2"/>
    <w:rsid w:val="00244E7F"/>
    <w:rsid w:val="00246A04"/>
    <w:rsid w:val="00254340"/>
    <w:rsid w:val="00256D83"/>
    <w:rsid w:val="00260EAD"/>
    <w:rsid w:val="00266080"/>
    <w:rsid w:val="002663F4"/>
    <w:rsid w:val="00272711"/>
    <w:rsid w:val="00280FA8"/>
    <w:rsid w:val="00281E65"/>
    <w:rsid w:val="00285BD7"/>
    <w:rsid w:val="00287E5B"/>
    <w:rsid w:val="00293CDD"/>
    <w:rsid w:val="002A3897"/>
    <w:rsid w:val="002A3E1E"/>
    <w:rsid w:val="002A527C"/>
    <w:rsid w:val="002A7DA9"/>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9EC"/>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2647"/>
    <w:rsid w:val="003A28F8"/>
    <w:rsid w:val="003A7BA0"/>
    <w:rsid w:val="003B0CC8"/>
    <w:rsid w:val="003B2AEA"/>
    <w:rsid w:val="003B6D10"/>
    <w:rsid w:val="003C363A"/>
    <w:rsid w:val="003C4EAE"/>
    <w:rsid w:val="003C6352"/>
    <w:rsid w:val="003C66D8"/>
    <w:rsid w:val="003D262C"/>
    <w:rsid w:val="003D4AEE"/>
    <w:rsid w:val="003D4DC2"/>
    <w:rsid w:val="003D794C"/>
    <w:rsid w:val="003D7DE2"/>
    <w:rsid w:val="003E0527"/>
    <w:rsid w:val="003E1505"/>
    <w:rsid w:val="003F04EC"/>
    <w:rsid w:val="003F1AB9"/>
    <w:rsid w:val="003F2825"/>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30ED7"/>
    <w:rsid w:val="0043495B"/>
    <w:rsid w:val="00440CB5"/>
    <w:rsid w:val="00453DF8"/>
    <w:rsid w:val="00464936"/>
    <w:rsid w:val="00466DF7"/>
    <w:rsid w:val="00466E1F"/>
    <w:rsid w:val="00470538"/>
    <w:rsid w:val="00471280"/>
    <w:rsid w:val="004719C7"/>
    <w:rsid w:val="00472CF3"/>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07B2"/>
    <w:rsid w:val="0054157E"/>
    <w:rsid w:val="00553649"/>
    <w:rsid w:val="00553A25"/>
    <w:rsid w:val="00556250"/>
    <w:rsid w:val="00557181"/>
    <w:rsid w:val="0056116F"/>
    <w:rsid w:val="00562323"/>
    <w:rsid w:val="00562514"/>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2A2A"/>
    <w:rsid w:val="005B74B8"/>
    <w:rsid w:val="005C0098"/>
    <w:rsid w:val="005C130B"/>
    <w:rsid w:val="005C3B85"/>
    <w:rsid w:val="005C40A7"/>
    <w:rsid w:val="005C6E9F"/>
    <w:rsid w:val="005C73F7"/>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2868"/>
    <w:rsid w:val="00635ACE"/>
    <w:rsid w:val="00636EFD"/>
    <w:rsid w:val="00641D69"/>
    <w:rsid w:val="00642EA8"/>
    <w:rsid w:val="00645410"/>
    <w:rsid w:val="00653602"/>
    <w:rsid w:val="0066029E"/>
    <w:rsid w:val="00660478"/>
    <w:rsid w:val="0066096F"/>
    <w:rsid w:val="00660D5A"/>
    <w:rsid w:val="00671796"/>
    <w:rsid w:val="0067499B"/>
    <w:rsid w:val="0067707C"/>
    <w:rsid w:val="00677868"/>
    <w:rsid w:val="00677ADD"/>
    <w:rsid w:val="0068110B"/>
    <w:rsid w:val="00683384"/>
    <w:rsid w:val="00686038"/>
    <w:rsid w:val="00687A4A"/>
    <w:rsid w:val="006917E6"/>
    <w:rsid w:val="00694141"/>
    <w:rsid w:val="00694C2F"/>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F23CA"/>
    <w:rsid w:val="00704E5F"/>
    <w:rsid w:val="00706100"/>
    <w:rsid w:val="00712E93"/>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54D8"/>
    <w:rsid w:val="007E7C30"/>
    <w:rsid w:val="007F034F"/>
    <w:rsid w:val="007F49F3"/>
    <w:rsid w:val="007F7B50"/>
    <w:rsid w:val="00803476"/>
    <w:rsid w:val="008078DD"/>
    <w:rsid w:val="00807F49"/>
    <w:rsid w:val="00810B5E"/>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1CE5"/>
    <w:rsid w:val="00872E9A"/>
    <w:rsid w:val="00873505"/>
    <w:rsid w:val="00873B35"/>
    <w:rsid w:val="00874A1A"/>
    <w:rsid w:val="0088039F"/>
    <w:rsid w:val="008846B9"/>
    <w:rsid w:val="00884908"/>
    <w:rsid w:val="00887A8D"/>
    <w:rsid w:val="008903A3"/>
    <w:rsid w:val="00894FF0"/>
    <w:rsid w:val="008A0AF2"/>
    <w:rsid w:val="008A3996"/>
    <w:rsid w:val="008B6407"/>
    <w:rsid w:val="008B6688"/>
    <w:rsid w:val="008B6A69"/>
    <w:rsid w:val="008C60CF"/>
    <w:rsid w:val="008D444A"/>
    <w:rsid w:val="008D7DC1"/>
    <w:rsid w:val="008E5619"/>
    <w:rsid w:val="008E758D"/>
    <w:rsid w:val="008F0B83"/>
    <w:rsid w:val="008F0BF4"/>
    <w:rsid w:val="0090132B"/>
    <w:rsid w:val="00916B1F"/>
    <w:rsid w:val="00920448"/>
    <w:rsid w:val="009265F8"/>
    <w:rsid w:val="00930789"/>
    <w:rsid w:val="00931E98"/>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6104"/>
    <w:rsid w:val="009E1605"/>
    <w:rsid w:val="009E697E"/>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340FC"/>
    <w:rsid w:val="00A44186"/>
    <w:rsid w:val="00A4615C"/>
    <w:rsid w:val="00A507C9"/>
    <w:rsid w:val="00A56282"/>
    <w:rsid w:val="00A600E1"/>
    <w:rsid w:val="00A62F5E"/>
    <w:rsid w:val="00A64D1E"/>
    <w:rsid w:val="00A675E1"/>
    <w:rsid w:val="00A71FE8"/>
    <w:rsid w:val="00A73BA1"/>
    <w:rsid w:val="00A75629"/>
    <w:rsid w:val="00A76D00"/>
    <w:rsid w:val="00A77BB6"/>
    <w:rsid w:val="00A83858"/>
    <w:rsid w:val="00A8522E"/>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355C"/>
    <w:rsid w:val="00B04FA2"/>
    <w:rsid w:val="00B10314"/>
    <w:rsid w:val="00B1069A"/>
    <w:rsid w:val="00B113F3"/>
    <w:rsid w:val="00B1254B"/>
    <w:rsid w:val="00B16E19"/>
    <w:rsid w:val="00B20607"/>
    <w:rsid w:val="00B2375D"/>
    <w:rsid w:val="00B30200"/>
    <w:rsid w:val="00B41BFD"/>
    <w:rsid w:val="00B47715"/>
    <w:rsid w:val="00B55ECC"/>
    <w:rsid w:val="00B6316A"/>
    <w:rsid w:val="00B656AB"/>
    <w:rsid w:val="00B82A47"/>
    <w:rsid w:val="00B851AE"/>
    <w:rsid w:val="00B855E6"/>
    <w:rsid w:val="00B858DB"/>
    <w:rsid w:val="00B86DB8"/>
    <w:rsid w:val="00B872EA"/>
    <w:rsid w:val="00B919AB"/>
    <w:rsid w:val="00B96A13"/>
    <w:rsid w:val="00BA5541"/>
    <w:rsid w:val="00BB2488"/>
    <w:rsid w:val="00BB2490"/>
    <w:rsid w:val="00BB39B1"/>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8E5"/>
    <w:rsid w:val="00CC1763"/>
    <w:rsid w:val="00CC2074"/>
    <w:rsid w:val="00CC284F"/>
    <w:rsid w:val="00CC3613"/>
    <w:rsid w:val="00CC615C"/>
    <w:rsid w:val="00CC720E"/>
    <w:rsid w:val="00CD2CA4"/>
    <w:rsid w:val="00CD3DFB"/>
    <w:rsid w:val="00CE3D0B"/>
    <w:rsid w:val="00CE49DD"/>
    <w:rsid w:val="00CE4D14"/>
    <w:rsid w:val="00CF0525"/>
    <w:rsid w:val="00CF32EA"/>
    <w:rsid w:val="00CF4EB8"/>
    <w:rsid w:val="00CF7422"/>
    <w:rsid w:val="00D0204C"/>
    <w:rsid w:val="00D025EF"/>
    <w:rsid w:val="00D026BC"/>
    <w:rsid w:val="00D02CEB"/>
    <w:rsid w:val="00D05F92"/>
    <w:rsid w:val="00D0697A"/>
    <w:rsid w:val="00D10D24"/>
    <w:rsid w:val="00D116AA"/>
    <w:rsid w:val="00D1385A"/>
    <w:rsid w:val="00D14158"/>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32C5"/>
    <w:rsid w:val="00E634F0"/>
    <w:rsid w:val="00E63BEA"/>
    <w:rsid w:val="00E66B74"/>
    <w:rsid w:val="00E6700B"/>
    <w:rsid w:val="00E706D6"/>
    <w:rsid w:val="00E70C96"/>
    <w:rsid w:val="00E71DC7"/>
    <w:rsid w:val="00E75059"/>
    <w:rsid w:val="00E8037F"/>
    <w:rsid w:val="00E825B1"/>
    <w:rsid w:val="00E827EF"/>
    <w:rsid w:val="00E85616"/>
    <w:rsid w:val="00E87FB5"/>
    <w:rsid w:val="00E90A0D"/>
    <w:rsid w:val="00E976AA"/>
    <w:rsid w:val="00EA0C9D"/>
    <w:rsid w:val="00EA58E6"/>
    <w:rsid w:val="00EA5AD9"/>
    <w:rsid w:val="00EA7D7E"/>
    <w:rsid w:val="00EA7F9E"/>
    <w:rsid w:val="00EB60B5"/>
    <w:rsid w:val="00EC0E3E"/>
    <w:rsid w:val="00EC21C6"/>
    <w:rsid w:val="00EC237E"/>
    <w:rsid w:val="00EC5F2F"/>
    <w:rsid w:val="00EC79B1"/>
    <w:rsid w:val="00ED20DB"/>
    <w:rsid w:val="00ED4729"/>
    <w:rsid w:val="00ED6A1E"/>
    <w:rsid w:val="00ED715B"/>
    <w:rsid w:val="00EE1E7A"/>
    <w:rsid w:val="00EE7114"/>
    <w:rsid w:val="00EF42D3"/>
    <w:rsid w:val="00EF76C9"/>
    <w:rsid w:val="00F009BB"/>
    <w:rsid w:val="00F00CF9"/>
    <w:rsid w:val="00F022A5"/>
    <w:rsid w:val="00F11E45"/>
    <w:rsid w:val="00F11FF7"/>
    <w:rsid w:val="00F1497A"/>
    <w:rsid w:val="00F172B1"/>
    <w:rsid w:val="00F21FF5"/>
    <w:rsid w:val="00F22172"/>
    <w:rsid w:val="00F22477"/>
    <w:rsid w:val="00F24453"/>
    <w:rsid w:val="00F25FAB"/>
    <w:rsid w:val="00F26550"/>
    <w:rsid w:val="00F31B47"/>
    <w:rsid w:val="00F32335"/>
    <w:rsid w:val="00F327C3"/>
    <w:rsid w:val="00F329A6"/>
    <w:rsid w:val="00F34015"/>
    <w:rsid w:val="00F40C06"/>
    <w:rsid w:val="00F43BBC"/>
    <w:rsid w:val="00F50C5F"/>
    <w:rsid w:val="00F52818"/>
    <w:rsid w:val="00F54187"/>
    <w:rsid w:val="00F554FE"/>
    <w:rsid w:val="00F6719B"/>
    <w:rsid w:val="00F72AEE"/>
    <w:rsid w:val="00F821AE"/>
    <w:rsid w:val="00F844CF"/>
    <w:rsid w:val="00F87F11"/>
    <w:rsid w:val="00F90309"/>
    <w:rsid w:val="00F90D41"/>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DE63D7-50AD-4022-A866-C67D9AFF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F093-D25C-4181-81FC-8B3D74051A0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schemas.microsoft.com/sharepoint/v3/fields"/>
    <ds:schemaRef ds:uri="a1d7872c-6126-4a32-b4d6-b4aed00f16be"/>
    <ds:schemaRef ds:uri="http://purl.org/dc/elements/1.1/"/>
  </ds:schemaRefs>
</ds:datastoreItem>
</file>

<file path=customXml/itemProps2.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4.xml><?xml version="1.0" encoding="utf-8"?>
<ds:datastoreItem xmlns:ds="http://schemas.openxmlformats.org/officeDocument/2006/customXml" ds:itemID="{427F36B6-96CD-42FE-A80C-D3E86DDF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3018</Words>
  <Characters>21450</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2019-11-06T11:48:00Z</cp:lastPrinted>
  <dcterms:created xsi:type="dcterms:W3CDTF">2019-11-05T12:24:00Z</dcterms:created>
  <dcterms:modified xsi:type="dcterms:W3CDTF">2019-11-06T11:51:00Z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